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C8" w:rsidRPr="00F927F2" w:rsidRDefault="00454BC8" w:rsidP="00F927F2">
      <w:pPr>
        <w:jc w:val="center"/>
        <w:rPr>
          <w:rFonts w:ascii="Verdana" w:hAnsi="Verdana" w:cs="Verdana"/>
          <w:b/>
          <w:bCs/>
          <w:caps/>
          <w:sz w:val="24"/>
          <w:szCs w:val="24"/>
        </w:rPr>
      </w:pPr>
      <w:r>
        <w:rPr>
          <w:rFonts w:ascii="Verdana" w:hAnsi="Verdana" w:cs="Verdana"/>
          <w:b/>
          <w:bCs/>
          <w:caps/>
          <w:sz w:val="24"/>
          <w:szCs w:val="24"/>
        </w:rPr>
        <w:fldChar w:fldCharType="begin"/>
      </w:r>
      <w:r>
        <w:rPr>
          <w:rFonts w:ascii="Verdana" w:hAnsi="Verdana" w:cs="Verdana"/>
          <w:b/>
          <w:bCs/>
          <w:caps/>
          <w:sz w:val="24"/>
          <w:szCs w:val="24"/>
        </w:rPr>
        <w:instrText xml:space="preserve"> MACROBUTTON MTEditEquationSection2 </w:instrText>
      </w:r>
      <w:r w:rsidRPr="00270A5F">
        <w:rPr>
          <w:rStyle w:val="MTEquationSection"/>
        </w:rPr>
        <w:instrText>Equation Chapter 1 Section 1</w:instrText>
      </w:r>
      <w:r>
        <w:rPr>
          <w:rFonts w:ascii="Verdana" w:hAnsi="Verdana" w:cs="Verdana"/>
          <w:b/>
          <w:bCs/>
          <w:caps/>
          <w:sz w:val="24"/>
          <w:szCs w:val="24"/>
        </w:rPr>
        <w:fldChar w:fldCharType="begin"/>
      </w:r>
      <w:r>
        <w:rPr>
          <w:rFonts w:ascii="Verdana" w:hAnsi="Verdana" w:cs="Verdana"/>
          <w:b/>
          <w:bCs/>
          <w:caps/>
          <w:sz w:val="24"/>
          <w:szCs w:val="24"/>
        </w:rPr>
        <w:instrText xml:space="preserve"> SEQ MTEqn \r \h \* MERGEFORMAT </w:instrText>
      </w:r>
      <w:r>
        <w:rPr>
          <w:rFonts w:ascii="Verdana" w:hAnsi="Verdana" w:cs="Verdana"/>
          <w:b/>
          <w:bCs/>
          <w:caps/>
          <w:sz w:val="24"/>
          <w:szCs w:val="24"/>
        </w:rPr>
        <w:fldChar w:fldCharType="end"/>
      </w:r>
      <w:r>
        <w:rPr>
          <w:rFonts w:ascii="Verdana" w:hAnsi="Verdana" w:cs="Verdana"/>
          <w:b/>
          <w:bCs/>
          <w:caps/>
          <w:sz w:val="24"/>
          <w:szCs w:val="24"/>
        </w:rPr>
        <w:fldChar w:fldCharType="begin"/>
      </w:r>
      <w:r>
        <w:rPr>
          <w:rFonts w:ascii="Verdana" w:hAnsi="Verdana" w:cs="Verdana"/>
          <w:b/>
          <w:bCs/>
          <w:caps/>
          <w:sz w:val="24"/>
          <w:szCs w:val="24"/>
        </w:rPr>
        <w:instrText xml:space="preserve"> SEQ MTSec \r 1 \h \* MERGEFORMAT </w:instrText>
      </w:r>
      <w:r>
        <w:rPr>
          <w:rFonts w:ascii="Verdana" w:hAnsi="Verdana" w:cs="Verdana"/>
          <w:b/>
          <w:bCs/>
          <w:caps/>
          <w:sz w:val="24"/>
          <w:szCs w:val="24"/>
        </w:rPr>
        <w:fldChar w:fldCharType="end"/>
      </w:r>
      <w:r>
        <w:rPr>
          <w:rFonts w:ascii="Verdana" w:hAnsi="Verdana" w:cs="Verdana"/>
          <w:b/>
          <w:bCs/>
          <w:caps/>
          <w:sz w:val="24"/>
          <w:szCs w:val="24"/>
        </w:rPr>
        <w:fldChar w:fldCharType="begin"/>
      </w:r>
      <w:r>
        <w:rPr>
          <w:rFonts w:ascii="Verdana" w:hAnsi="Verdana" w:cs="Verdana"/>
          <w:b/>
          <w:bCs/>
          <w:caps/>
          <w:sz w:val="24"/>
          <w:szCs w:val="24"/>
        </w:rPr>
        <w:instrText xml:space="preserve"> SEQ MTChap \r 1 \h \* MERGEFORMAT </w:instrText>
      </w:r>
      <w:r>
        <w:rPr>
          <w:rFonts w:ascii="Verdana" w:hAnsi="Verdana" w:cs="Verdana"/>
          <w:b/>
          <w:bCs/>
          <w:caps/>
          <w:sz w:val="24"/>
          <w:szCs w:val="24"/>
        </w:rPr>
        <w:fldChar w:fldCharType="end"/>
      </w:r>
      <w:r>
        <w:rPr>
          <w:rFonts w:ascii="Verdana" w:hAnsi="Verdana" w:cs="Verdana"/>
          <w:b/>
          <w:bCs/>
          <w:caps/>
          <w:sz w:val="24"/>
          <w:szCs w:val="24"/>
        </w:rPr>
        <w:fldChar w:fldCharType="end"/>
      </w:r>
      <w:r w:rsidRPr="00F927F2">
        <w:rPr>
          <w:rFonts w:ascii="Verdana" w:hAnsi="Verdana" w:cs="Verdana"/>
          <w:b/>
          <w:bCs/>
          <w:caps/>
          <w:sz w:val="24"/>
          <w:szCs w:val="24"/>
        </w:rPr>
        <w:t>Global Supply Chain Design:</w:t>
      </w:r>
      <w:r>
        <w:rPr>
          <w:rFonts w:ascii="Verdana" w:hAnsi="Verdana" w:cs="Verdana"/>
          <w:b/>
          <w:bCs/>
          <w:caps/>
          <w:sz w:val="24"/>
          <w:szCs w:val="24"/>
        </w:rPr>
        <w:t xml:space="preserve"> </w:t>
      </w:r>
      <w:r w:rsidRPr="00F927F2">
        <w:rPr>
          <w:rFonts w:ascii="Verdana" w:hAnsi="Verdana" w:cs="Verdana"/>
          <w:b/>
          <w:bCs/>
          <w:caps/>
          <w:sz w:val="24"/>
          <w:szCs w:val="24"/>
        </w:rPr>
        <w:t>Understanding Costs through Dynamic Modelling</w:t>
      </w:r>
    </w:p>
    <w:p w:rsidR="00454BC8" w:rsidRPr="00F27CAA" w:rsidRDefault="00454BC8" w:rsidP="00F27CAA">
      <w:pPr>
        <w:jc w:val="center"/>
        <w:rPr>
          <w:rFonts w:ascii="Verdana" w:hAnsi="Verdana" w:cs="Verdana"/>
          <w:i/>
          <w:iCs/>
          <w:sz w:val="20"/>
          <w:szCs w:val="20"/>
        </w:rPr>
      </w:pPr>
      <w:r w:rsidRPr="00AE3CAC">
        <w:rPr>
          <w:rFonts w:ascii="Verdana" w:hAnsi="Verdana" w:cs="Verdana"/>
          <w:i/>
          <w:iCs/>
          <w:sz w:val="20"/>
          <w:szCs w:val="20"/>
        </w:rPr>
        <w:t>Ste</w:t>
      </w:r>
      <w:r>
        <w:rPr>
          <w:rFonts w:ascii="Verdana" w:hAnsi="Verdana" w:cs="Verdana"/>
          <w:i/>
          <w:iCs/>
          <w:sz w:val="20"/>
          <w:szCs w:val="20"/>
        </w:rPr>
        <w:t>ph</w:t>
      </w:r>
      <w:r w:rsidRPr="00AE3CAC">
        <w:rPr>
          <w:rFonts w:ascii="Verdana" w:hAnsi="Verdana" w:cs="Verdana"/>
          <w:i/>
          <w:iCs/>
          <w:sz w:val="20"/>
          <w:szCs w:val="20"/>
        </w:rPr>
        <w:t>e</w:t>
      </w:r>
      <w:r>
        <w:rPr>
          <w:rFonts w:ascii="Verdana" w:hAnsi="Verdana" w:cs="Verdana"/>
          <w:i/>
          <w:iCs/>
          <w:sz w:val="20"/>
          <w:szCs w:val="20"/>
        </w:rPr>
        <w:t>n M.</w:t>
      </w:r>
      <w:r w:rsidRPr="00AE3CAC">
        <w:rPr>
          <w:rFonts w:ascii="Verdana" w:hAnsi="Verdana" w:cs="Verdana"/>
          <w:i/>
          <w:iCs/>
          <w:sz w:val="20"/>
          <w:szCs w:val="20"/>
        </w:rPr>
        <w:t xml:space="preserve"> Disney (Cardiff University)</w:t>
      </w:r>
      <w:r>
        <w:rPr>
          <w:rFonts w:ascii="Verdana" w:hAnsi="Verdana" w:cs="Verdana"/>
          <w:i/>
          <w:iCs/>
          <w:sz w:val="20"/>
          <w:szCs w:val="20"/>
        </w:rPr>
        <w:t xml:space="preserve"> &amp;</w:t>
      </w:r>
      <w:r w:rsidRPr="00AE3CAC">
        <w:rPr>
          <w:rFonts w:ascii="Verdana" w:hAnsi="Verdana" w:cs="Verdana"/>
          <w:i/>
          <w:iCs/>
          <w:sz w:val="20"/>
          <w:szCs w:val="20"/>
        </w:rPr>
        <w:t xml:space="preserve"> Peter McCullen (University of Brighton)</w:t>
      </w:r>
    </w:p>
    <w:p w:rsidR="00454BC8" w:rsidRPr="003D38A7" w:rsidRDefault="00454BC8" w:rsidP="00A215DA">
      <w:pPr>
        <w:spacing w:after="0"/>
        <w:rPr>
          <w:rFonts w:ascii="Verdana" w:hAnsi="Verdana" w:cs="Verdana"/>
          <w:b/>
          <w:bCs/>
          <w:sz w:val="20"/>
          <w:szCs w:val="20"/>
        </w:rPr>
      </w:pPr>
      <w:r w:rsidRPr="003D38A7">
        <w:rPr>
          <w:rFonts w:ascii="Verdana" w:hAnsi="Verdana" w:cs="Verdana"/>
          <w:b/>
          <w:bCs/>
          <w:sz w:val="20"/>
          <w:szCs w:val="20"/>
        </w:rPr>
        <w:t>ABSTRACT</w:t>
      </w:r>
    </w:p>
    <w:p w:rsidR="00454BC8" w:rsidRDefault="00454BC8" w:rsidP="00A215DA">
      <w:pPr>
        <w:spacing w:after="0"/>
        <w:jc w:val="both"/>
        <w:rPr>
          <w:rFonts w:ascii="Verdana" w:hAnsi="Verdana" w:cs="Verdana"/>
          <w:sz w:val="20"/>
          <w:szCs w:val="20"/>
        </w:rPr>
      </w:pPr>
      <w:r>
        <w:rPr>
          <w:rFonts w:ascii="Verdana" w:hAnsi="Verdana" w:cs="Verdana"/>
          <w:sz w:val="20"/>
          <w:szCs w:val="20"/>
        </w:rPr>
        <w:t>We study the economics of the outsourcing decision from a supply chain dynamics perspective. Production can be either in the UK</w:t>
      </w:r>
      <w:r w:rsidR="00476329">
        <w:rPr>
          <w:rFonts w:ascii="Verdana" w:hAnsi="Verdana" w:cs="Verdana"/>
          <w:sz w:val="20"/>
          <w:szCs w:val="20"/>
        </w:rPr>
        <w:t>,</w:t>
      </w:r>
      <w:r>
        <w:rPr>
          <w:rFonts w:ascii="Verdana" w:hAnsi="Verdana" w:cs="Verdana"/>
          <w:sz w:val="20"/>
          <w:szCs w:val="20"/>
        </w:rPr>
        <w:t xml:space="preserve"> where products are delivered on trucks to a UK warehouse, or in China where product is shipped via a container liner to a UK warehouse. We show that the traditional “landed cost” approach of purchase price plus transport costs overestimates the benefit from outsourcing products to </w:t>
      </w:r>
      <w:smartTag w:uri="urn:schemas-microsoft-com:office:smarttags" w:element="place">
        <w:smartTag w:uri="urn:schemas-microsoft-com:office:smarttags" w:element="country-region">
          <w:r>
            <w:rPr>
              <w:rFonts w:ascii="Verdana" w:hAnsi="Verdana" w:cs="Verdana"/>
              <w:sz w:val="20"/>
              <w:szCs w:val="20"/>
            </w:rPr>
            <w:t>China</w:t>
          </w:r>
        </w:smartTag>
      </w:smartTag>
      <w:r>
        <w:rPr>
          <w:rFonts w:ascii="Verdana" w:hAnsi="Verdana" w:cs="Verdana"/>
          <w:sz w:val="20"/>
          <w:szCs w:val="20"/>
        </w:rPr>
        <w:t xml:space="preserve">. However, the dynamic costs associated with the pipeline inventory, the UK inventory &amp; the UK warehousing capacity costs associated with unloading the containers is not large enough to change the outsourcing decision. </w:t>
      </w:r>
    </w:p>
    <w:p w:rsidR="00454BC8" w:rsidRDefault="00454BC8" w:rsidP="003D38A7">
      <w:pPr>
        <w:spacing w:after="0"/>
        <w:rPr>
          <w:rFonts w:ascii="Verdana" w:hAnsi="Verdana" w:cs="Verdana"/>
          <w:sz w:val="20"/>
          <w:szCs w:val="20"/>
        </w:rPr>
      </w:pPr>
      <w:r w:rsidRPr="00A04D16">
        <w:rPr>
          <w:rFonts w:ascii="Verdana" w:hAnsi="Verdana" w:cs="Verdana"/>
          <w:i/>
          <w:iCs/>
          <w:sz w:val="20"/>
          <w:szCs w:val="20"/>
        </w:rPr>
        <w:t>Key words</w:t>
      </w:r>
      <w:r w:rsidRPr="003D38A7">
        <w:rPr>
          <w:rFonts w:ascii="Verdana" w:hAnsi="Verdana" w:cs="Verdana"/>
          <w:sz w:val="20"/>
          <w:szCs w:val="20"/>
        </w:rPr>
        <w:t>:</w:t>
      </w:r>
      <w:r>
        <w:rPr>
          <w:rFonts w:ascii="Verdana" w:hAnsi="Verdana" w:cs="Verdana"/>
          <w:sz w:val="20"/>
          <w:szCs w:val="20"/>
        </w:rPr>
        <w:t xml:space="preserve"> Outsourcing, globalisation, Order-up-to pol</w:t>
      </w:r>
      <w:r w:rsidR="00476329">
        <w:rPr>
          <w:rFonts w:ascii="Verdana" w:hAnsi="Verdana" w:cs="Verdana"/>
          <w:sz w:val="20"/>
          <w:szCs w:val="20"/>
        </w:rPr>
        <w:t>icy, inventory &amp; capacity costs.</w:t>
      </w:r>
    </w:p>
    <w:p w:rsidR="00454BC8" w:rsidRDefault="00454BC8" w:rsidP="00FA4E4E">
      <w:pPr>
        <w:rPr>
          <w:rFonts w:ascii="Verdana" w:hAnsi="Verdana" w:cs="Verdana"/>
          <w:b/>
          <w:bCs/>
          <w:sz w:val="20"/>
          <w:szCs w:val="20"/>
        </w:rPr>
      </w:pPr>
    </w:p>
    <w:p w:rsidR="00454BC8" w:rsidRDefault="00454BC8" w:rsidP="00A215DA">
      <w:pPr>
        <w:spacing w:after="0" w:line="280" w:lineRule="exact"/>
        <w:rPr>
          <w:rFonts w:ascii="Verdana" w:hAnsi="Verdana" w:cs="Verdana"/>
          <w:b/>
          <w:bCs/>
          <w:sz w:val="20"/>
          <w:szCs w:val="20"/>
        </w:rPr>
      </w:pPr>
      <w:r>
        <w:rPr>
          <w:rFonts w:ascii="Verdana" w:hAnsi="Verdana" w:cs="Verdana"/>
          <w:b/>
          <w:bCs/>
          <w:sz w:val="20"/>
          <w:szCs w:val="20"/>
        </w:rPr>
        <w:t>INTRODUCTION</w:t>
      </w:r>
    </w:p>
    <w:p w:rsidR="00454BC8" w:rsidRDefault="00454BC8" w:rsidP="00A215DA">
      <w:pPr>
        <w:spacing w:after="0" w:line="280" w:lineRule="exact"/>
        <w:jc w:val="both"/>
        <w:rPr>
          <w:rFonts w:ascii="Verdana" w:hAnsi="Verdana" w:cs="Verdana"/>
          <w:sz w:val="20"/>
          <w:szCs w:val="20"/>
        </w:rPr>
      </w:pPr>
      <w:r>
        <w:rPr>
          <w:rFonts w:ascii="Verdana" w:hAnsi="Verdana" w:cs="Verdana"/>
          <w:sz w:val="20"/>
          <w:szCs w:val="20"/>
        </w:rPr>
        <w:t>Industrialisation of less developed countries, the emergence of new markets &amp; improvements in transportation are increasing the options for sourcing &amp; supply chain design. Supply chain costs are, to a large degree, determined by the structure of the supply network, &amp; dynamic (bullwhip related) costs tend to increase with distance &amp; lead time. Supply chain modelling can be used to understand the cost behaviour of alternative network designs, &amp; to help choose the best solution. However, it can be difficult to decide which variables to model &amp; which approaches to employ? Sophisticated models can help to explain the trade-offs, but may be too complex to communicate insights to key decision makers. Simple models can be persuasive, but there is a risk that key variables may be overlooked, leading to sub-optimal solutions. These dilemmas are explored via two overseas outsourcing case studies for double beds &amp; a sample of 4 high-tech industrial products, using real data for demand processes, manufacturing cost, weight, volume, &amp; associated transportation costs. The products have been chosen to explore the impact of different value densities (£ per Kg) on cost behaviour &amp; model efficacy, where beds represent low value density &amp; with the industrial products ranging from medium, high, very high to super value densities.</w:t>
      </w:r>
    </w:p>
    <w:p w:rsidR="00454BC8" w:rsidRDefault="00454BC8" w:rsidP="00A215DA">
      <w:pPr>
        <w:spacing w:after="0" w:line="280" w:lineRule="exact"/>
        <w:jc w:val="both"/>
        <w:rPr>
          <w:rFonts w:ascii="Verdana" w:hAnsi="Verdana" w:cs="Verdana"/>
          <w:sz w:val="20"/>
          <w:szCs w:val="20"/>
        </w:rPr>
      </w:pPr>
    </w:p>
    <w:p w:rsidR="00454BC8" w:rsidRPr="003E34DD" w:rsidRDefault="00454BC8" w:rsidP="00A215DA">
      <w:pPr>
        <w:spacing w:after="0" w:line="280" w:lineRule="exact"/>
        <w:rPr>
          <w:rFonts w:ascii="Verdana" w:hAnsi="Verdana" w:cs="Verdana"/>
          <w:b/>
          <w:bCs/>
          <w:sz w:val="20"/>
          <w:szCs w:val="20"/>
        </w:rPr>
      </w:pPr>
      <w:r>
        <w:rPr>
          <w:rFonts w:ascii="Verdana" w:hAnsi="Verdana" w:cs="Verdana"/>
          <w:b/>
          <w:bCs/>
          <w:sz w:val="20"/>
          <w:szCs w:val="20"/>
        </w:rPr>
        <w:t>REVIEW OF SELECTED LITERATURE</w:t>
      </w:r>
    </w:p>
    <w:p w:rsidR="00454BC8" w:rsidRDefault="00454BC8" w:rsidP="00A215DA">
      <w:pPr>
        <w:spacing w:after="0" w:line="280" w:lineRule="exact"/>
        <w:jc w:val="both"/>
        <w:rPr>
          <w:rFonts w:ascii="Verdana" w:hAnsi="Verdana" w:cs="Verdana"/>
          <w:sz w:val="20"/>
          <w:szCs w:val="20"/>
        </w:rPr>
      </w:pPr>
      <w:r w:rsidRPr="003445A3">
        <w:rPr>
          <w:rFonts w:ascii="Verdana" w:hAnsi="Verdana" w:cs="Verdana"/>
          <w:sz w:val="20"/>
          <w:szCs w:val="20"/>
        </w:rPr>
        <w:t xml:space="preserve">A review of academic literature in the field of supply chain design reveals three possible supply chain </w:t>
      </w:r>
      <w:r>
        <w:rPr>
          <w:rFonts w:ascii="Verdana" w:hAnsi="Verdana" w:cs="Verdana"/>
          <w:sz w:val="20"/>
          <w:szCs w:val="20"/>
        </w:rPr>
        <w:t xml:space="preserve">modelling &amp; </w:t>
      </w:r>
      <w:r w:rsidRPr="003445A3">
        <w:rPr>
          <w:rFonts w:ascii="Verdana" w:hAnsi="Verdana" w:cs="Verdana"/>
          <w:sz w:val="20"/>
          <w:szCs w:val="20"/>
        </w:rPr>
        <w:t xml:space="preserve">design methodologies, which may be broadly classified as: </w:t>
      </w:r>
      <w:r w:rsidRPr="003445A3">
        <w:rPr>
          <w:rFonts w:ascii="Verdana" w:hAnsi="Verdana" w:cs="Verdana"/>
          <w:i/>
          <w:iCs/>
          <w:sz w:val="20"/>
          <w:szCs w:val="20"/>
        </w:rPr>
        <w:t>deterministic</w:t>
      </w:r>
      <w:r w:rsidRPr="003445A3">
        <w:rPr>
          <w:rFonts w:ascii="Verdana" w:hAnsi="Verdana" w:cs="Verdana"/>
          <w:sz w:val="20"/>
          <w:szCs w:val="20"/>
        </w:rPr>
        <w:t>, where a constant or average demand (e.g. Cohen</w:t>
      </w:r>
      <w:r>
        <w:rPr>
          <w:rFonts w:ascii="Verdana" w:hAnsi="Verdana" w:cs="Verdana"/>
          <w:sz w:val="20"/>
          <w:szCs w:val="20"/>
        </w:rPr>
        <w:t xml:space="preserve"> &amp;</w:t>
      </w:r>
      <w:r w:rsidRPr="003445A3">
        <w:rPr>
          <w:rFonts w:ascii="Verdana" w:hAnsi="Verdana" w:cs="Verdana"/>
          <w:sz w:val="20"/>
          <w:szCs w:val="20"/>
        </w:rPr>
        <w:t xml:space="preserve"> Lee, 1989) is assumed (as in Linear Programming based approaches employed in most commercially available software)</w:t>
      </w:r>
      <w:r>
        <w:rPr>
          <w:rFonts w:ascii="Verdana" w:hAnsi="Verdana" w:cs="Verdana"/>
          <w:sz w:val="20"/>
          <w:szCs w:val="20"/>
        </w:rPr>
        <w:t>;</w:t>
      </w:r>
      <w:r w:rsidRPr="003445A3">
        <w:rPr>
          <w:rFonts w:ascii="Verdana" w:hAnsi="Verdana" w:cs="Verdana"/>
          <w:sz w:val="20"/>
          <w:szCs w:val="20"/>
        </w:rPr>
        <w:t xml:space="preserve"> </w:t>
      </w:r>
      <w:r w:rsidRPr="003445A3">
        <w:rPr>
          <w:rFonts w:ascii="Verdana" w:hAnsi="Verdana" w:cs="Verdana"/>
          <w:i/>
          <w:iCs/>
          <w:sz w:val="20"/>
          <w:szCs w:val="20"/>
        </w:rPr>
        <w:t>stochastic</w:t>
      </w:r>
      <w:r w:rsidRPr="003445A3">
        <w:rPr>
          <w:rFonts w:ascii="Verdana" w:hAnsi="Verdana" w:cs="Verdana"/>
          <w:sz w:val="20"/>
          <w:szCs w:val="20"/>
        </w:rPr>
        <w:t>, where probability density functions are employed to represent uncertainty (e.g. Lee</w:t>
      </w:r>
      <w:r>
        <w:rPr>
          <w:rFonts w:ascii="Verdana" w:hAnsi="Verdana" w:cs="Verdana"/>
          <w:sz w:val="20"/>
          <w:szCs w:val="20"/>
        </w:rPr>
        <w:t xml:space="preserve"> &amp;</w:t>
      </w:r>
      <w:r w:rsidRPr="003445A3">
        <w:rPr>
          <w:rFonts w:ascii="Verdana" w:hAnsi="Verdana" w:cs="Verdana"/>
          <w:sz w:val="20"/>
          <w:szCs w:val="20"/>
        </w:rPr>
        <w:t xml:space="preserve"> </w:t>
      </w:r>
      <w:proofErr w:type="spellStart"/>
      <w:r w:rsidRPr="003445A3">
        <w:rPr>
          <w:rFonts w:ascii="Verdana" w:hAnsi="Verdana" w:cs="Verdana"/>
          <w:sz w:val="20"/>
          <w:szCs w:val="20"/>
        </w:rPr>
        <w:t>Billington</w:t>
      </w:r>
      <w:proofErr w:type="spellEnd"/>
      <w:r w:rsidRPr="003445A3">
        <w:rPr>
          <w:rFonts w:ascii="Verdana" w:hAnsi="Verdana" w:cs="Verdana"/>
          <w:sz w:val="20"/>
          <w:szCs w:val="20"/>
        </w:rPr>
        <w:t>, 1993);</w:t>
      </w:r>
      <w:r>
        <w:rPr>
          <w:rFonts w:ascii="Verdana" w:hAnsi="Verdana" w:cs="Verdana"/>
          <w:sz w:val="20"/>
          <w:szCs w:val="20"/>
        </w:rPr>
        <w:t xml:space="preserve"> &amp; </w:t>
      </w:r>
      <w:r w:rsidRPr="003445A3">
        <w:rPr>
          <w:rFonts w:ascii="Verdana" w:hAnsi="Verdana" w:cs="Verdana"/>
          <w:i/>
          <w:iCs/>
          <w:sz w:val="20"/>
          <w:szCs w:val="20"/>
        </w:rPr>
        <w:t>dynamic</w:t>
      </w:r>
      <w:r w:rsidRPr="003445A3">
        <w:rPr>
          <w:rFonts w:ascii="Verdana" w:hAnsi="Verdana" w:cs="Verdana"/>
          <w:sz w:val="20"/>
          <w:szCs w:val="20"/>
        </w:rPr>
        <w:t>, where demand</w:t>
      </w:r>
      <w:r>
        <w:rPr>
          <w:rFonts w:ascii="Verdana" w:hAnsi="Verdana" w:cs="Verdana"/>
          <w:sz w:val="20"/>
          <w:szCs w:val="20"/>
        </w:rPr>
        <w:t xml:space="preserve"> &amp;</w:t>
      </w:r>
      <w:r w:rsidRPr="003445A3">
        <w:rPr>
          <w:rFonts w:ascii="Verdana" w:hAnsi="Verdana" w:cs="Verdana"/>
          <w:sz w:val="20"/>
          <w:szCs w:val="20"/>
        </w:rPr>
        <w:t xml:space="preserve"> other variables are modelled evolving over time</w:t>
      </w:r>
      <w:r>
        <w:rPr>
          <w:rFonts w:ascii="Verdana" w:hAnsi="Verdana" w:cs="Verdana"/>
          <w:sz w:val="20"/>
          <w:szCs w:val="20"/>
        </w:rPr>
        <w:t xml:space="preserve"> &amp;</w:t>
      </w:r>
      <w:r w:rsidRPr="003445A3">
        <w:rPr>
          <w:rFonts w:ascii="Verdana" w:hAnsi="Verdana" w:cs="Verdana"/>
          <w:sz w:val="20"/>
          <w:szCs w:val="20"/>
        </w:rPr>
        <w:t xml:space="preserve"> particular attention is given to feedback loops, (e.g. Forrester, 1961</w:t>
      </w:r>
      <w:r>
        <w:rPr>
          <w:rFonts w:ascii="Verdana" w:hAnsi="Verdana" w:cs="Verdana"/>
          <w:sz w:val="20"/>
          <w:szCs w:val="20"/>
        </w:rPr>
        <w:t xml:space="preserve"> &amp;</w:t>
      </w:r>
      <w:r w:rsidRPr="003445A3">
        <w:rPr>
          <w:rFonts w:ascii="Verdana" w:hAnsi="Verdana" w:cs="Verdana"/>
          <w:sz w:val="20"/>
          <w:szCs w:val="20"/>
        </w:rPr>
        <w:t xml:space="preserve"> Berry</w:t>
      </w:r>
      <w:r>
        <w:rPr>
          <w:rFonts w:ascii="Verdana" w:hAnsi="Verdana" w:cs="Verdana"/>
          <w:sz w:val="20"/>
          <w:szCs w:val="20"/>
        </w:rPr>
        <w:t xml:space="preserve"> &amp;</w:t>
      </w:r>
      <w:r w:rsidRPr="003445A3">
        <w:rPr>
          <w:rFonts w:ascii="Verdana" w:hAnsi="Verdana" w:cs="Verdana"/>
          <w:sz w:val="20"/>
          <w:szCs w:val="20"/>
        </w:rPr>
        <w:t xml:space="preserve"> </w:t>
      </w:r>
      <w:proofErr w:type="spellStart"/>
      <w:r w:rsidRPr="003445A3">
        <w:rPr>
          <w:rFonts w:ascii="Verdana" w:hAnsi="Verdana" w:cs="Verdana"/>
          <w:sz w:val="20"/>
          <w:szCs w:val="20"/>
        </w:rPr>
        <w:t>Towill</w:t>
      </w:r>
      <w:proofErr w:type="spellEnd"/>
      <w:r w:rsidRPr="003445A3">
        <w:rPr>
          <w:rFonts w:ascii="Verdana" w:hAnsi="Verdana" w:cs="Verdana"/>
          <w:sz w:val="20"/>
          <w:szCs w:val="20"/>
        </w:rPr>
        <w:t>, 1995).</w:t>
      </w:r>
      <w:r>
        <w:rPr>
          <w:rFonts w:ascii="Verdana" w:hAnsi="Verdana" w:cs="Verdana"/>
          <w:sz w:val="20"/>
          <w:szCs w:val="20"/>
        </w:rPr>
        <w:t xml:space="preserve"> </w:t>
      </w:r>
      <w:r w:rsidRPr="00E1283A">
        <w:rPr>
          <w:rFonts w:ascii="Verdana" w:hAnsi="Verdana" w:cs="Verdana"/>
          <w:sz w:val="20"/>
          <w:szCs w:val="20"/>
        </w:rPr>
        <w:t>In practice</w:t>
      </w:r>
      <w:r>
        <w:rPr>
          <w:rFonts w:ascii="Verdana" w:hAnsi="Verdana" w:cs="Verdana"/>
          <w:sz w:val="20"/>
          <w:szCs w:val="20"/>
        </w:rPr>
        <w:t>, both stochastic &amp; dynamic approaches are employed</w:t>
      </w:r>
      <w:r w:rsidRPr="00E1283A">
        <w:rPr>
          <w:rFonts w:ascii="Verdana" w:hAnsi="Verdana" w:cs="Verdana"/>
          <w:sz w:val="20"/>
          <w:szCs w:val="20"/>
        </w:rPr>
        <w:t xml:space="preserve"> once the physical supply network has been decided. </w:t>
      </w:r>
      <w:r w:rsidRPr="00E1283A">
        <w:rPr>
          <w:rFonts w:ascii="Verdana" w:hAnsi="Verdana" w:cs="Verdana"/>
          <w:i/>
          <w:iCs/>
          <w:sz w:val="20"/>
          <w:szCs w:val="20"/>
        </w:rPr>
        <w:t xml:space="preserve">Dynamic </w:t>
      </w:r>
      <w:r w:rsidRPr="00E1283A">
        <w:rPr>
          <w:rFonts w:ascii="Verdana" w:hAnsi="Verdana" w:cs="Verdana"/>
          <w:sz w:val="20"/>
          <w:szCs w:val="20"/>
        </w:rPr>
        <w:t>supply chain design employs control theory to understand the effect of time delays</w:t>
      </w:r>
      <w:r>
        <w:rPr>
          <w:rFonts w:ascii="Verdana" w:hAnsi="Verdana" w:cs="Verdana"/>
          <w:sz w:val="20"/>
          <w:szCs w:val="20"/>
        </w:rPr>
        <w:t xml:space="preserve"> &amp;</w:t>
      </w:r>
      <w:r w:rsidRPr="00E1283A">
        <w:rPr>
          <w:rFonts w:ascii="Verdana" w:hAnsi="Verdana" w:cs="Verdana"/>
          <w:sz w:val="20"/>
          <w:szCs w:val="20"/>
        </w:rPr>
        <w:t xml:space="preserve"> feedback paths on system behaviour. However, as both stochastic</w:t>
      </w:r>
      <w:r>
        <w:rPr>
          <w:rFonts w:ascii="Verdana" w:hAnsi="Verdana" w:cs="Verdana"/>
          <w:sz w:val="20"/>
          <w:szCs w:val="20"/>
        </w:rPr>
        <w:t xml:space="preserve"> &amp;</w:t>
      </w:r>
      <w:r w:rsidRPr="00E1283A">
        <w:rPr>
          <w:rFonts w:ascii="Verdana" w:hAnsi="Verdana" w:cs="Verdana"/>
          <w:sz w:val="20"/>
          <w:szCs w:val="20"/>
        </w:rPr>
        <w:t xml:space="preserve"> dynamic approaches are normally applied </w:t>
      </w:r>
      <w:r w:rsidRPr="00E1283A">
        <w:rPr>
          <w:rFonts w:ascii="Verdana" w:hAnsi="Verdana" w:cs="Verdana"/>
          <w:i/>
          <w:iCs/>
          <w:sz w:val="20"/>
          <w:szCs w:val="20"/>
        </w:rPr>
        <w:t>after</w:t>
      </w:r>
      <w:r w:rsidRPr="00E1283A">
        <w:rPr>
          <w:rFonts w:ascii="Verdana" w:hAnsi="Verdana" w:cs="Verdana"/>
          <w:sz w:val="20"/>
          <w:szCs w:val="20"/>
        </w:rPr>
        <w:t xml:space="preserve"> the physica</w:t>
      </w:r>
      <w:r>
        <w:rPr>
          <w:rFonts w:ascii="Verdana" w:hAnsi="Verdana" w:cs="Verdana"/>
          <w:sz w:val="20"/>
          <w:szCs w:val="20"/>
        </w:rPr>
        <w:t>l network has been decided,</w:t>
      </w:r>
      <w:r w:rsidRPr="00E1283A">
        <w:rPr>
          <w:rFonts w:ascii="Verdana" w:hAnsi="Verdana" w:cs="Verdana"/>
          <w:sz w:val="20"/>
          <w:szCs w:val="20"/>
        </w:rPr>
        <w:t xml:space="preserve"> the potential of these methods is constrained.</w:t>
      </w:r>
      <w:r>
        <w:rPr>
          <w:rFonts w:ascii="Verdana" w:hAnsi="Verdana" w:cs="Verdana"/>
          <w:sz w:val="20"/>
          <w:szCs w:val="20"/>
        </w:rPr>
        <w:t xml:space="preserve"> </w:t>
      </w:r>
      <w:proofErr w:type="spellStart"/>
      <w:r w:rsidRPr="00E20939">
        <w:rPr>
          <w:rFonts w:ascii="Verdana" w:hAnsi="Verdana" w:cs="Verdana"/>
          <w:sz w:val="20"/>
          <w:szCs w:val="20"/>
        </w:rPr>
        <w:t>Ratanachote</w:t>
      </w:r>
      <w:proofErr w:type="spellEnd"/>
      <w:r>
        <w:rPr>
          <w:rFonts w:ascii="Verdana" w:hAnsi="Verdana" w:cs="Verdana"/>
          <w:sz w:val="20"/>
          <w:szCs w:val="20"/>
        </w:rPr>
        <w:t xml:space="preserve"> &amp;</w:t>
      </w:r>
      <w:r w:rsidRPr="00E20939">
        <w:rPr>
          <w:rFonts w:ascii="Verdana" w:hAnsi="Verdana" w:cs="Verdana"/>
          <w:sz w:val="20"/>
          <w:szCs w:val="20"/>
        </w:rPr>
        <w:t xml:space="preserve"> Disney</w:t>
      </w:r>
      <w:r>
        <w:rPr>
          <w:rFonts w:ascii="Verdana" w:hAnsi="Verdana" w:cs="Verdana"/>
          <w:sz w:val="20"/>
          <w:szCs w:val="20"/>
        </w:rPr>
        <w:t xml:space="preserve"> (</w:t>
      </w:r>
      <w:r w:rsidRPr="00E20939">
        <w:rPr>
          <w:rFonts w:ascii="Verdana" w:hAnsi="Verdana" w:cs="Verdana"/>
          <w:sz w:val="20"/>
          <w:szCs w:val="20"/>
        </w:rPr>
        <w:t>2008</w:t>
      </w:r>
      <w:r>
        <w:rPr>
          <w:rFonts w:ascii="Verdana" w:hAnsi="Verdana" w:cs="Verdana"/>
          <w:sz w:val="20"/>
          <w:szCs w:val="20"/>
        </w:rPr>
        <w:t xml:space="preserve">) have developed a modelling technique which incorporates stochastic &amp; dynamic analysis to model the </w:t>
      </w:r>
      <w:r>
        <w:rPr>
          <w:rFonts w:ascii="Verdana" w:hAnsi="Verdana" w:cs="Verdana"/>
          <w:sz w:val="20"/>
          <w:szCs w:val="20"/>
        </w:rPr>
        <w:lastRenderedPageBreak/>
        <w:t>inventory &amp; capacity variances &amp; costs associated with alternative network designs. Dynamic analysis adds some complexity to the modelling procedure, &amp; it would be useful to develop some criteria to help identify the circumstances in which it should be applied.</w:t>
      </w:r>
    </w:p>
    <w:p w:rsidR="00454BC8" w:rsidRPr="001B1AC1" w:rsidRDefault="00454BC8" w:rsidP="00633511">
      <w:pPr>
        <w:autoSpaceDE w:val="0"/>
        <w:autoSpaceDN w:val="0"/>
        <w:adjustRightInd w:val="0"/>
        <w:jc w:val="both"/>
        <w:rPr>
          <w:rFonts w:ascii="Verdana" w:hAnsi="Verdana" w:cs="Verdana"/>
          <w:sz w:val="20"/>
          <w:szCs w:val="20"/>
        </w:rPr>
      </w:pPr>
      <w:r w:rsidRPr="001B1AC1">
        <w:rPr>
          <w:rFonts w:ascii="Verdana" w:hAnsi="Verdana" w:cs="Verdana"/>
          <w:sz w:val="20"/>
          <w:szCs w:val="20"/>
        </w:rPr>
        <w:t>Supply chain scenarios are inherently complex</w:t>
      </w:r>
      <w:r>
        <w:rPr>
          <w:rFonts w:ascii="Verdana" w:hAnsi="Verdana" w:cs="Verdana"/>
          <w:sz w:val="20"/>
          <w:szCs w:val="20"/>
        </w:rPr>
        <w:t xml:space="preserve"> &amp;</w:t>
      </w:r>
      <w:r w:rsidRPr="001B1AC1">
        <w:rPr>
          <w:rFonts w:ascii="Verdana" w:hAnsi="Verdana" w:cs="Verdana"/>
          <w:sz w:val="20"/>
          <w:szCs w:val="20"/>
        </w:rPr>
        <w:t xml:space="preserve"> there are many different variables that can be incorporated into a model. However, if too many variables are considered the model becomes unwieldy</w:t>
      </w:r>
      <w:r>
        <w:rPr>
          <w:rFonts w:ascii="Verdana" w:hAnsi="Verdana" w:cs="Verdana"/>
          <w:sz w:val="20"/>
          <w:szCs w:val="20"/>
        </w:rPr>
        <w:t xml:space="preserve"> &amp;</w:t>
      </w:r>
      <w:r w:rsidRPr="001B1AC1">
        <w:rPr>
          <w:rFonts w:ascii="Verdana" w:hAnsi="Verdana" w:cs="Verdana"/>
          <w:sz w:val="20"/>
          <w:szCs w:val="20"/>
        </w:rPr>
        <w:t xml:space="preserve"> difficult to commu</w:t>
      </w:r>
      <w:r>
        <w:rPr>
          <w:rFonts w:ascii="Verdana" w:hAnsi="Verdana" w:cs="Verdana"/>
          <w:sz w:val="20"/>
          <w:szCs w:val="20"/>
        </w:rPr>
        <w:t>nicate to managers</w:t>
      </w:r>
      <w:r w:rsidRPr="001B1AC1">
        <w:rPr>
          <w:rFonts w:ascii="Verdana" w:hAnsi="Verdana" w:cs="Verdana"/>
          <w:sz w:val="20"/>
          <w:szCs w:val="20"/>
        </w:rPr>
        <w:t xml:space="preserve">. If the model is too simple, then key insights can be missed. According to </w:t>
      </w:r>
      <w:proofErr w:type="spellStart"/>
      <w:r w:rsidRPr="001B1AC1">
        <w:rPr>
          <w:rFonts w:ascii="Verdana" w:hAnsi="Verdana" w:cs="Verdana"/>
          <w:sz w:val="20"/>
          <w:szCs w:val="20"/>
        </w:rPr>
        <w:t>Pidd</w:t>
      </w:r>
      <w:proofErr w:type="spellEnd"/>
      <w:r w:rsidRPr="001B1AC1">
        <w:rPr>
          <w:rFonts w:ascii="Verdana" w:hAnsi="Verdana" w:cs="Verdana"/>
          <w:sz w:val="20"/>
          <w:szCs w:val="20"/>
        </w:rPr>
        <w:t xml:space="preserve"> (2006) in any modelling exercise it is important to ensure that a valuable result is delivered without being dragged into too much detail. Selecting which variables to model</w:t>
      </w:r>
      <w:r>
        <w:rPr>
          <w:rFonts w:ascii="Verdana" w:hAnsi="Verdana" w:cs="Verdana"/>
          <w:sz w:val="20"/>
          <w:szCs w:val="20"/>
        </w:rPr>
        <w:t xml:space="preserve"> &amp;</w:t>
      </w:r>
      <w:r w:rsidRPr="001B1AC1">
        <w:rPr>
          <w:rFonts w:ascii="Verdana" w:hAnsi="Verdana" w:cs="Verdana"/>
          <w:sz w:val="20"/>
          <w:szCs w:val="20"/>
        </w:rPr>
        <w:t xml:space="preserve"> which techniques to employ is therefore a critical decision.</w:t>
      </w:r>
    </w:p>
    <w:p w:rsidR="00454BC8" w:rsidRDefault="00454BC8" w:rsidP="00633511">
      <w:pPr>
        <w:jc w:val="both"/>
        <w:rPr>
          <w:rFonts w:ascii="Verdana" w:hAnsi="Verdana" w:cs="Verdana"/>
          <w:sz w:val="20"/>
          <w:szCs w:val="20"/>
        </w:rPr>
      </w:pPr>
      <w:r>
        <w:rPr>
          <w:rFonts w:ascii="Verdana" w:hAnsi="Verdana" w:cs="Verdana"/>
          <w:sz w:val="20"/>
          <w:szCs w:val="20"/>
        </w:rPr>
        <w:t xml:space="preserve">Supply chain segmentation reveals a similar problem. According to Fuller et al. (1993) many companies attempt to deliver dissimilar products through the same supply pipeline with sub-optimal results, arguing instead for </w:t>
      </w:r>
      <w:r w:rsidRPr="00E77B16">
        <w:rPr>
          <w:rFonts w:ascii="Verdana" w:hAnsi="Verdana" w:cs="Verdana"/>
          <w:i/>
          <w:iCs/>
          <w:sz w:val="20"/>
          <w:szCs w:val="20"/>
        </w:rPr>
        <w:t>logistically distinct pipelines</w:t>
      </w:r>
      <w:r>
        <w:rPr>
          <w:rFonts w:ascii="Verdana" w:hAnsi="Verdana" w:cs="Verdana"/>
          <w:sz w:val="20"/>
          <w:szCs w:val="20"/>
        </w:rPr>
        <w:t>. This concept now appears in the literature as ‘supply chain segmentation’</w:t>
      </w:r>
      <w:r w:rsidRPr="00A56ABD">
        <w:rPr>
          <w:rFonts w:ascii="Verdana" w:hAnsi="Verdana" w:cs="Verdana"/>
          <w:sz w:val="20"/>
          <w:szCs w:val="20"/>
        </w:rPr>
        <w:t xml:space="preserve"> </w:t>
      </w:r>
      <w:r>
        <w:rPr>
          <w:rFonts w:ascii="Verdana" w:hAnsi="Verdana" w:cs="Verdana"/>
          <w:sz w:val="20"/>
          <w:szCs w:val="20"/>
        </w:rPr>
        <w:t>(Lovell et al., 2005) &amp; ‘value stream classification’ (Christopher et al., 2008) &amp; is closely related to supply chain design, as pipelines must be designed for groups of ‘similar’ products. However, there are many different criteria by which a company’s products can potentially be grouped, including: stage in lifecycle, handling characteristics, shelf life, physical size &amp; weight, value, demand location, demand level, demand variability, service expectations, lead time, transport mode availability &amp; customs duties. Just as supply chain modellers must decide which variables to model, supply chain analysts must choose the most appropriate bases for segmentation. In both cases, it is necessary to choose the variables which exert the biggest influence on supply chain performance, either for the purposes of effective modelling or optimal pipeline design.</w:t>
      </w:r>
    </w:p>
    <w:p w:rsidR="00454BC8" w:rsidRDefault="00454BC8" w:rsidP="00633511">
      <w:pPr>
        <w:jc w:val="both"/>
        <w:rPr>
          <w:rFonts w:ascii="Verdana" w:hAnsi="Verdana" w:cs="Verdana"/>
          <w:sz w:val="20"/>
          <w:szCs w:val="20"/>
        </w:rPr>
      </w:pPr>
      <w:r>
        <w:rPr>
          <w:rFonts w:ascii="Verdana" w:hAnsi="Verdana" w:cs="Verdana"/>
          <w:sz w:val="20"/>
          <w:szCs w:val="20"/>
        </w:rPr>
        <w:t xml:space="preserve">Lovell et al. identify the key segmentation variables as demand variability, throughput (volume) &amp; product </w:t>
      </w:r>
      <w:r w:rsidR="00476329">
        <w:rPr>
          <w:rFonts w:ascii="Verdana" w:hAnsi="Verdana" w:cs="Verdana"/>
          <w:sz w:val="20"/>
          <w:szCs w:val="20"/>
        </w:rPr>
        <w:t>value density</w:t>
      </w:r>
      <w:r>
        <w:rPr>
          <w:rFonts w:ascii="Verdana" w:hAnsi="Verdana" w:cs="Verdana"/>
          <w:sz w:val="20"/>
          <w:szCs w:val="20"/>
        </w:rPr>
        <w:t xml:space="preserve">, exploring their impact on pipeline design choices, including transportation mode (speed) &amp; degree of inventory centralisation. In relation to the supply chain modelling dilemma, the authors developed an initial view that product value density should guide the choice of modelling technique (McCullen &amp; Disney, 2008), as high product value density would be associated costly pipeline inventories. The is leads to our </w:t>
      </w:r>
      <w:r w:rsidRPr="00B0157A">
        <w:rPr>
          <w:rFonts w:ascii="Verdana" w:hAnsi="Verdana" w:cs="Verdana"/>
          <w:i/>
          <w:iCs/>
          <w:sz w:val="20"/>
          <w:szCs w:val="20"/>
        </w:rPr>
        <w:t>Hypothesis</w:t>
      </w:r>
      <w:r>
        <w:rPr>
          <w:rFonts w:ascii="Verdana" w:hAnsi="Verdana" w:cs="Verdana"/>
          <w:sz w:val="20"/>
          <w:szCs w:val="20"/>
        </w:rPr>
        <w:t>: Where product value density (PVD) is high, pipeline inventory &amp; bullwhip costs are dominant, &amp; dynamic-stochastic modelling is appropriate. Where product value density is low, transportation costs are dominant, &amp; static modelling is ‘good enough’ to select an optimal solution.</w:t>
      </w:r>
    </w:p>
    <w:p w:rsidR="00454BC8" w:rsidRDefault="00454BC8" w:rsidP="00A215DA">
      <w:pPr>
        <w:spacing w:after="0"/>
        <w:jc w:val="both"/>
        <w:rPr>
          <w:rFonts w:ascii="Verdana" w:hAnsi="Verdana" w:cs="Verdana"/>
          <w:sz w:val="20"/>
          <w:szCs w:val="20"/>
        </w:rPr>
      </w:pPr>
      <w:r>
        <w:rPr>
          <w:rFonts w:ascii="Verdana" w:hAnsi="Verdana" w:cs="Verdana"/>
          <w:sz w:val="20"/>
          <w:szCs w:val="20"/>
        </w:rPr>
        <w:t>Two case studies are employed to explore the hypothesis. Case Study 1 involves an outsourcing decision for a furniture manufacturer (a low value density scenario). Case Study 2 involves the same outsourcing scenario, but considering high tech industrial products (a high value density scenario). Both cases are analysed using dynamic-stochastic modelling, with both static &amp; dynamic costs separately identified. The two</w:t>
      </w:r>
      <w:r w:rsidRPr="00A215DA">
        <w:rPr>
          <w:rFonts w:ascii="Verdana" w:hAnsi="Verdana" w:cs="Verdana"/>
          <w:sz w:val="20"/>
          <w:szCs w:val="20"/>
        </w:rPr>
        <w:t xml:space="preserve"> </w:t>
      </w:r>
      <w:r>
        <w:rPr>
          <w:rFonts w:ascii="Verdana" w:hAnsi="Verdana" w:cs="Verdana"/>
          <w:sz w:val="20"/>
          <w:szCs w:val="20"/>
        </w:rPr>
        <w:t>cases are compared &amp; the efficacy of dynamic-stochastic modelling discussed in relation to the hypothesis.</w:t>
      </w:r>
    </w:p>
    <w:p w:rsidR="00454BC8" w:rsidRPr="00AE1161" w:rsidRDefault="00454BC8" w:rsidP="008540B9">
      <w:pPr>
        <w:spacing w:after="0"/>
        <w:rPr>
          <w:rFonts w:ascii="Verdana" w:hAnsi="Verdana" w:cs="Verdana"/>
          <w:sz w:val="20"/>
          <w:szCs w:val="20"/>
        </w:rPr>
      </w:pPr>
      <w:bookmarkStart w:id="0" w:name="_GoBack"/>
      <w:bookmarkEnd w:id="0"/>
      <w:r>
        <w:rPr>
          <w:rFonts w:ascii="Verdana" w:hAnsi="Verdana" w:cs="Verdana"/>
          <w:sz w:val="20"/>
          <w:szCs w:val="20"/>
        </w:rPr>
        <w:t xml:space="preserve"> </w:t>
      </w:r>
    </w:p>
    <w:p w:rsidR="00454BC8" w:rsidRDefault="00454BC8" w:rsidP="00A215DA">
      <w:pPr>
        <w:spacing w:after="0" w:line="280" w:lineRule="exact"/>
        <w:jc w:val="both"/>
        <w:rPr>
          <w:rFonts w:ascii="Verdana" w:hAnsi="Verdana" w:cs="Verdana"/>
          <w:b/>
          <w:bCs/>
          <w:sz w:val="20"/>
          <w:szCs w:val="20"/>
        </w:rPr>
      </w:pPr>
      <w:r>
        <w:rPr>
          <w:rFonts w:ascii="Verdana" w:hAnsi="Verdana" w:cs="Verdana"/>
          <w:b/>
          <w:bCs/>
          <w:sz w:val="20"/>
          <w:szCs w:val="20"/>
        </w:rPr>
        <w:t>THE SUPPLY CHAIN SCENARIOS</w:t>
      </w:r>
    </w:p>
    <w:p w:rsidR="00454BC8" w:rsidRPr="00B7137C" w:rsidRDefault="00454BC8" w:rsidP="00A215DA">
      <w:pPr>
        <w:spacing w:after="0" w:line="280" w:lineRule="exact"/>
        <w:jc w:val="both"/>
        <w:rPr>
          <w:rFonts w:ascii="Verdana" w:hAnsi="Verdana" w:cs="Verdana"/>
          <w:sz w:val="20"/>
          <w:szCs w:val="20"/>
        </w:rPr>
      </w:pPr>
      <w:r>
        <w:rPr>
          <w:rFonts w:ascii="Verdana" w:hAnsi="Verdana" w:cs="Verdana"/>
          <w:sz w:val="20"/>
          <w:szCs w:val="20"/>
        </w:rPr>
        <w:t xml:space="preserve">In </w:t>
      </w:r>
      <w:proofErr w:type="gramStart"/>
      <w:r>
        <w:rPr>
          <w:rFonts w:ascii="Verdana" w:hAnsi="Verdana" w:cs="Verdana"/>
          <w:sz w:val="20"/>
          <w:szCs w:val="20"/>
        </w:rPr>
        <w:t>both cases</w:t>
      </w:r>
      <w:proofErr w:type="gramEnd"/>
      <w:r>
        <w:rPr>
          <w:rFonts w:ascii="Verdana" w:hAnsi="Verdana" w:cs="Verdana"/>
          <w:sz w:val="20"/>
          <w:szCs w:val="20"/>
        </w:rPr>
        <w:t>, UK or outsourced Chinese manufacture are compa</w:t>
      </w:r>
      <w:r w:rsidR="008540B9">
        <w:rPr>
          <w:rFonts w:ascii="Verdana" w:hAnsi="Verdana" w:cs="Verdana"/>
          <w:sz w:val="20"/>
          <w:szCs w:val="20"/>
        </w:rPr>
        <w:t xml:space="preserve">red. </w:t>
      </w:r>
      <w:r>
        <w:rPr>
          <w:rFonts w:ascii="Verdana" w:hAnsi="Verdana" w:cs="Verdana"/>
          <w:sz w:val="20"/>
          <w:szCs w:val="20"/>
        </w:rPr>
        <w:t xml:space="preserve">Both case studies employ the same supply chain scenarios. For </w:t>
      </w:r>
      <w:smartTag w:uri="urn:schemas-microsoft-com:office:smarttags" w:element="place">
        <w:smartTag w:uri="urn:schemas-microsoft-com:office:smarttags" w:element="country-region">
          <w:r>
            <w:rPr>
              <w:rFonts w:ascii="Verdana" w:hAnsi="Verdana" w:cs="Verdana"/>
              <w:sz w:val="20"/>
              <w:szCs w:val="20"/>
            </w:rPr>
            <w:t>UK</w:t>
          </w:r>
        </w:smartTag>
      </w:smartTag>
      <w:r>
        <w:rPr>
          <w:rFonts w:ascii="Verdana" w:hAnsi="Verdana" w:cs="Verdana"/>
          <w:sz w:val="20"/>
          <w:szCs w:val="20"/>
        </w:rPr>
        <w:t xml:space="preserve"> manufacture, products are delivered directly to a warehouse, unloaded &amp; ‘put away’, with the company incurring 2 weeks of pipeline cost, unloading cost &amp; inventory cost. In the case of Chinese manufacture, the </w:t>
      </w:r>
      <w:r>
        <w:rPr>
          <w:rFonts w:ascii="Verdana" w:hAnsi="Verdana" w:cs="Verdana"/>
          <w:sz w:val="20"/>
          <w:szCs w:val="20"/>
        </w:rPr>
        <w:lastRenderedPageBreak/>
        <w:t xml:space="preserve">factory gate product costs are substantially lower, but goods must be paid for before they leave the factory, &amp; the company incurs 8 weeks of lead-time with the associated pipeline cost, unloading cost &amp; inventory cost. When shipping from </w:t>
      </w:r>
      <w:smartTag w:uri="urn:schemas-microsoft-com:office:smarttags" w:element="place">
        <w:smartTag w:uri="urn:schemas-microsoft-com:office:smarttags" w:element="country-region">
          <w:r>
            <w:rPr>
              <w:rFonts w:ascii="Verdana" w:hAnsi="Verdana" w:cs="Verdana"/>
              <w:sz w:val="20"/>
              <w:szCs w:val="20"/>
            </w:rPr>
            <w:t>China</w:t>
          </w:r>
        </w:smartTag>
      </w:smartTag>
      <w:r>
        <w:rPr>
          <w:rFonts w:ascii="Verdana" w:hAnsi="Verdana" w:cs="Verdana"/>
          <w:sz w:val="20"/>
          <w:szCs w:val="20"/>
        </w:rPr>
        <w:t>, high cube 40ft containers are used for the beds as they are relatively lightweight &amp; volume constrained. For the industrial products, a normal 40ft container is used</w:t>
      </w:r>
      <w:r w:rsidR="00476329">
        <w:rPr>
          <w:rFonts w:ascii="Verdana" w:hAnsi="Verdana" w:cs="Verdana"/>
          <w:sz w:val="20"/>
          <w:szCs w:val="20"/>
        </w:rPr>
        <w:t xml:space="preserve"> as they are payload</w:t>
      </w:r>
      <w:r>
        <w:rPr>
          <w:rFonts w:ascii="Verdana" w:hAnsi="Verdana" w:cs="Verdana"/>
          <w:sz w:val="20"/>
          <w:szCs w:val="20"/>
        </w:rPr>
        <w:t xml:space="preserve"> rather than volume constrained. </w:t>
      </w:r>
    </w:p>
    <w:p w:rsidR="00454BC8" w:rsidRPr="00B7137C" w:rsidRDefault="00454BC8" w:rsidP="003D1AD5">
      <w:pPr>
        <w:spacing w:after="0" w:line="280" w:lineRule="exact"/>
        <w:jc w:val="both"/>
        <w:rPr>
          <w:rFonts w:ascii="Verdana" w:hAnsi="Verdana" w:cs="Verdana"/>
          <w:sz w:val="20"/>
          <w:szCs w:val="20"/>
        </w:rPr>
      </w:pPr>
      <w:r>
        <w:rPr>
          <w:rFonts w:ascii="Verdana" w:hAnsi="Verdana" w:cs="Verdana"/>
          <w:sz w:val="20"/>
          <w:szCs w:val="20"/>
        </w:rPr>
        <w:t xml:space="preserve">The demand </w:t>
      </w:r>
      <w:r w:rsidRPr="00B7137C">
        <w:rPr>
          <w:rFonts w:ascii="Verdana" w:hAnsi="Verdana" w:cs="Verdana"/>
          <w:i/>
          <w:iCs/>
          <w:sz w:val="20"/>
          <w:szCs w:val="20"/>
        </w:rPr>
        <w:t>d</w:t>
      </w:r>
      <w:r w:rsidRPr="00B7137C">
        <w:rPr>
          <w:rFonts w:ascii="Verdana" w:hAnsi="Verdana" w:cs="Verdana"/>
          <w:sz w:val="20"/>
          <w:szCs w:val="20"/>
        </w:rPr>
        <w:t xml:space="preserve"> in week </w:t>
      </w:r>
      <w:r w:rsidRPr="00B7137C">
        <w:rPr>
          <w:rFonts w:ascii="Verdana" w:hAnsi="Verdana" w:cs="Verdana"/>
          <w:i/>
          <w:iCs/>
          <w:sz w:val="20"/>
          <w:szCs w:val="20"/>
        </w:rPr>
        <w:t>t</w:t>
      </w:r>
      <w:r>
        <w:rPr>
          <w:rFonts w:ascii="Verdana" w:hAnsi="Verdana" w:cs="Verdana"/>
          <w:sz w:val="20"/>
          <w:szCs w:val="20"/>
        </w:rPr>
        <w:t xml:space="preserve"> in all cases was deemed to follow an </w:t>
      </w:r>
      <w:r w:rsidRPr="00B7137C">
        <w:rPr>
          <w:rFonts w:ascii="Verdana" w:hAnsi="Verdana" w:cs="Verdana"/>
          <w:sz w:val="20"/>
          <w:szCs w:val="20"/>
        </w:rPr>
        <w:t>AR(1) model</w:t>
      </w:r>
      <w:r>
        <w:rPr>
          <w:rFonts w:ascii="Verdana" w:hAnsi="Verdana" w:cs="Verdana"/>
          <w:sz w:val="20"/>
          <w:szCs w:val="20"/>
        </w:rPr>
        <w:t>,</w:t>
      </w:r>
    </w:p>
    <w:tbl>
      <w:tblPr>
        <w:tblW w:w="9288" w:type="dxa"/>
        <w:tblLook w:val="01E0" w:firstRow="1" w:lastRow="1" w:firstColumn="1" w:lastColumn="1" w:noHBand="0" w:noVBand="0"/>
      </w:tblPr>
      <w:tblGrid>
        <w:gridCol w:w="8388"/>
        <w:gridCol w:w="900"/>
      </w:tblGrid>
      <w:tr w:rsidR="00454BC8" w:rsidRPr="002A2A2D">
        <w:tc>
          <w:tcPr>
            <w:tcW w:w="8388" w:type="dxa"/>
          </w:tcPr>
          <w:p w:rsidR="00454BC8" w:rsidRPr="002A2A2D" w:rsidRDefault="00454BC8" w:rsidP="003D1AD5">
            <w:pPr>
              <w:spacing w:after="0" w:line="280" w:lineRule="exact"/>
              <w:rPr>
                <w:rFonts w:ascii="Verdana" w:hAnsi="Verdana" w:cs="Verdana"/>
                <w:sz w:val="20"/>
                <w:szCs w:val="20"/>
              </w:rPr>
            </w:pPr>
            <w:r w:rsidRPr="001D6F12">
              <w:rPr>
                <w:rFonts w:ascii="Verdana" w:eastAsia="Times New Roman" w:hAnsi="Verdana" w:cs="Times New Roman"/>
                <w:position w:val="-14"/>
              </w:rPr>
              <w:object w:dxaOrig="2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9.5pt" o:ole="">
                  <v:imagedata r:id="rId6" o:title=""/>
                </v:shape>
                <o:OLEObject Type="Embed" ProgID="Equation.DSMT4" ShapeID="_x0000_i1025" DrawAspect="Content" ObjectID="_1430551554" r:id="rId7"/>
              </w:object>
            </w:r>
          </w:p>
        </w:tc>
        <w:tc>
          <w:tcPr>
            <w:tcW w:w="900" w:type="dxa"/>
            <w:vAlign w:val="center"/>
          </w:tcPr>
          <w:p w:rsidR="00454BC8" w:rsidRPr="002A2A2D" w:rsidRDefault="00454BC8" w:rsidP="003D1AD5">
            <w:pPr>
              <w:spacing w:after="0" w:line="280" w:lineRule="exact"/>
              <w:jc w:val="right"/>
              <w:rPr>
                <w:rFonts w:ascii="Verdana" w:hAnsi="Verdana" w:cs="Verdana"/>
                <w:sz w:val="20"/>
                <w:szCs w:val="20"/>
              </w:rPr>
            </w:pPr>
            <w:r w:rsidRPr="002A2A2D">
              <w:rPr>
                <w:rFonts w:ascii="Verdana" w:hAnsi="Verdana" w:cs="Verdana"/>
                <w:sz w:val="20"/>
                <w:szCs w:val="20"/>
              </w:rPr>
              <w:fldChar w:fldCharType="begin"/>
            </w:r>
            <w:r w:rsidRPr="002A2A2D">
              <w:rPr>
                <w:rFonts w:ascii="Verdana" w:hAnsi="Verdana" w:cs="Verdana"/>
                <w:sz w:val="20"/>
                <w:szCs w:val="20"/>
              </w:rPr>
              <w:instrText xml:space="preserve"> MACROBUTTON MTPlaceRef \* MERGEFORMAT </w:instrText>
            </w:r>
            <w:r w:rsidRPr="002A2A2D">
              <w:rPr>
                <w:rFonts w:ascii="Verdana" w:hAnsi="Verdana" w:cs="Verdana"/>
                <w:sz w:val="20"/>
                <w:szCs w:val="20"/>
              </w:rPr>
              <w:fldChar w:fldCharType="begin"/>
            </w:r>
            <w:r w:rsidRPr="002A2A2D">
              <w:rPr>
                <w:rFonts w:ascii="Verdana" w:hAnsi="Verdana" w:cs="Verdana"/>
                <w:sz w:val="20"/>
                <w:szCs w:val="20"/>
              </w:rPr>
              <w:instrText xml:space="preserve"> SEQ MTEqn \h \* MERGEFORMAT </w:instrText>
            </w:r>
            <w:r w:rsidRPr="002A2A2D">
              <w:rPr>
                <w:rFonts w:ascii="Verdana" w:hAnsi="Verdana" w:cs="Verdana"/>
                <w:sz w:val="20"/>
                <w:szCs w:val="20"/>
              </w:rPr>
              <w:fldChar w:fldCharType="end"/>
            </w:r>
            <w:r w:rsidRPr="00AD3B59">
              <w:rPr>
                <w:rFonts w:ascii="Verdana" w:eastAsia="MS Mincho" w:hAnsi="Verdana" w:cs="Verdana"/>
                <w:sz w:val="20"/>
                <w:szCs w:val="20"/>
              </w:rPr>
              <w:instrText>(</w:instrText>
            </w:r>
            <w:fldSimple w:instr=" SEQ MTEqn \c \* Arabic \* MERGEFORMAT ">
              <w:r w:rsidRPr="008F1B5F">
                <w:rPr>
                  <w:rFonts w:ascii="Verdana" w:hAnsi="Verdana" w:cs="Verdana"/>
                  <w:noProof/>
                  <w:sz w:val="20"/>
                  <w:szCs w:val="20"/>
                </w:rPr>
                <w:instrText>1</w:instrText>
              </w:r>
            </w:fldSimple>
            <w:r w:rsidRPr="00AD3B59">
              <w:rPr>
                <w:rFonts w:ascii="Verdana" w:eastAsia="MS Mincho" w:hAnsi="Verdana" w:cs="Verdana"/>
                <w:sz w:val="20"/>
                <w:szCs w:val="20"/>
              </w:rPr>
              <w:instrText>)</w:instrText>
            </w:r>
            <w:r w:rsidRPr="002A2A2D">
              <w:rPr>
                <w:rFonts w:ascii="Verdana" w:hAnsi="Verdana" w:cs="Verdana"/>
                <w:sz w:val="20"/>
                <w:szCs w:val="20"/>
              </w:rPr>
              <w:fldChar w:fldCharType="end"/>
            </w:r>
          </w:p>
        </w:tc>
      </w:tr>
    </w:tbl>
    <w:p w:rsidR="00454BC8" w:rsidRDefault="00454BC8" w:rsidP="003D1AD5">
      <w:pPr>
        <w:spacing w:after="0" w:line="280" w:lineRule="exact"/>
        <w:jc w:val="both"/>
        <w:rPr>
          <w:rFonts w:ascii="Verdana" w:hAnsi="Verdana" w:cs="Verdana"/>
          <w:color w:val="000000"/>
          <w:sz w:val="20"/>
          <w:szCs w:val="20"/>
        </w:rPr>
      </w:pPr>
      <w:proofErr w:type="gramStart"/>
      <w:r>
        <w:rPr>
          <w:rFonts w:ascii="Verdana" w:hAnsi="Verdana" w:cs="Verdana"/>
          <w:sz w:val="20"/>
          <w:szCs w:val="20"/>
        </w:rPr>
        <w:t>w</w:t>
      </w:r>
      <w:r w:rsidRPr="00B7137C">
        <w:rPr>
          <w:rFonts w:ascii="Verdana" w:hAnsi="Verdana" w:cs="Verdana"/>
          <w:sz w:val="20"/>
          <w:szCs w:val="20"/>
        </w:rPr>
        <w:t>here</w:t>
      </w:r>
      <w:proofErr w:type="gramEnd"/>
      <w:r>
        <w:rPr>
          <w:rFonts w:ascii="Verdana" w:hAnsi="Verdana" w:cs="Verdana"/>
          <w:sz w:val="20"/>
          <w:szCs w:val="20"/>
        </w:rPr>
        <w:t xml:space="preserve"> </w:t>
      </w:r>
      <w:r w:rsidRPr="00B7137C">
        <w:rPr>
          <w:rFonts w:ascii="Verdana" w:hAnsi="Verdana" w:cs="Verdana"/>
          <w:position w:val="-12"/>
          <w:sz w:val="20"/>
          <w:szCs w:val="20"/>
        </w:rPr>
        <w:object w:dxaOrig="240" w:dyaOrig="360">
          <v:shape id="_x0000_i1026" type="#_x0000_t75" style="width:11.25pt;height:18pt" o:ole="">
            <v:imagedata r:id="rId8" o:title=""/>
          </v:shape>
          <o:OLEObject Type="Embed" ProgID="Equation.DSMT4" ShapeID="_x0000_i1026" DrawAspect="Content" ObjectID="_1430551555" r:id="rId9"/>
        </w:object>
      </w:r>
      <w:r>
        <w:rPr>
          <w:rFonts w:ascii="Verdana" w:hAnsi="Verdana" w:cs="Verdana"/>
          <w:sz w:val="20"/>
          <w:szCs w:val="20"/>
        </w:rPr>
        <w:t xml:space="preserve"> </w:t>
      </w:r>
      <w:r w:rsidRPr="00B7137C">
        <w:rPr>
          <w:rFonts w:ascii="Verdana" w:hAnsi="Verdana" w:cs="Verdana"/>
          <w:sz w:val="20"/>
          <w:szCs w:val="20"/>
        </w:rPr>
        <w:t xml:space="preserve">is a normally distributed, </w:t>
      </w:r>
      <w:proofErr w:type="spellStart"/>
      <w:r w:rsidRPr="00B7137C">
        <w:rPr>
          <w:rFonts w:ascii="Verdana" w:hAnsi="Verdana" w:cs="Verdana"/>
          <w:sz w:val="20"/>
          <w:szCs w:val="20"/>
        </w:rPr>
        <w:t>i.i.d</w:t>
      </w:r>
      <w:proofErr w:type="spellEnd"/>
      <w:r w:rsidRPr="00B7137C">
        <w:rPr>
          <w:rFonts w:ascii="Verdana" w:hAnsi="Verdana" w:cs="Verdana"/>
          <w:sz w:val="20"/>
          <w:szCs w:val="20"/>
        </w:rPr>
        <w:t>. random process with a mean of zero</w:t>
      </w:r>
      <w:r>
        <w:rPr>
          <w:rFonts w:ascii="Verdana" w:hAnsi="Verdana" w:cs="Verdana"/>
          <w:sz w:val="20"/>
          <w:szCs w:val="20"/>
        </w:rPr>
        <w:t xml:space="preserve"> &amp; a standard deviation which we matched to the real-life d</w:t>
      </w:r>
      <w:r w:rsidR="00476329">
        <w:rPr>
          <w:rFonts w:ascii="Verdana" w:hAnsi="Verdana" w:cs="Verdana"/>
          <w:sz w:val="20"/>
          <w:szCs w:val="20"/>
        </w:rPr>
        <w:t>emand pattern. The mean demand</w:t>
      </w:r>
      <w:r w:rsidRPr="00B7137C">
        <w:rPr>
          <w:rFonts w:ascii="Verdana" w:hAnsi="Verdana" w:cs="Verdana"/>
          <w:sz w:val="20"/>
          <w:szCs w:val="20"/>
        </w:rPr>
        <w:t xml:space="preserve"> </w:t>
      </w:r>
      <w:r w:rsidRPr="00633511">
        <w:rPr>
          <w:rFonts w:ascii="Verdana" w:hAnsi="Verdana" w:cs="Verdana"/>
          <w:position w:val="-12"/>
          <w:sz w:val="20"/>
          <w:szCs w:val="20"/>
        </w:rPr>
        <w:object w:dxaOrig="320" w:dyaOrig="360">
          <v:shape id="_x0000_i1027" type="#_x0000_t75" style="width:15pt;height:18pt" o:ole="">
            <v:imagedata r:id="rId10" o:title=""/>
          </v:shape>
          <o:OLEObject Type="Embed" ProgID="Equation.DSMT4" ShapeID="_x0000_i1027" DrawAspect="Content" ObjectID="_1430551556" r:id="rId11"/>
        </w:object>
      </w:r>
      <w:r>
        <w:rPr>
          <w:rFonts w:ascii="Verdana" w:hAnsi="Verdana" w:cs="Verdana"/>
          <w:sz w:val="20"/>
          <w:szCs w:val="20"/>
        </w:rPr>
        <w:t xml:space="preserve"> &amp; the </w:t>
      </w:r>
      <w:r w:rsidRPr="00B7137C">
        <w:rPr>
          <w:rFonts w:ascii="Verdana" w:hAnsi="Verdana" w:cs="Verdana"/>
          <w:sz w:val="20"/>
          <w:szCs w:val="20"/>
        </w:rPr>
        <w:t xml:space="preserve">auto-regressive parameter of </w:t>
      </w:r>
      <w:r w:rsidRPr="00B7137C">
        <w:rPr>
          <w:rFonts w:ascii="Verdana" w:hAnsi="Verdana" w:cs="Verdana"/>
          <w:position w:val="-10"/>
          <w:sz w:val="20"/>
          <w:szCs w:val="20"/>
        </w:rPr>
        <w:object w:dxaOrig="980" w:dyaOrig="320">
          <v:shape id="_x0000_i1028" type="#_x0000_t75" style="width:48.75pt;height:15pt" o:ole="">
            <v:imagedata r:id="rId12" o:title=""/>
          </v:shape>
          <o:OLEObject Type="Embed" ProgID="Equation.DSMT4" ShapeID="_x0000_i1028" DrawAspect="Content" ObjectID="_1430551557" r:id="rId13"/>
        </w:object>
      </w:r>
      <w:r w:rsidRPr="00B7137C">
        <w:rPr>
          <w:rFonts w:ascii="Verdana" w:hAnsi="Verdana" w:cs="Verdana"/>
          <w:sz w:val="20"/>
          <w:szCs w:val="20"/>
        </w:rPr>
        <w:t xml:space="preserve"> </w:t>
      </w:r>
      <w:r>
        <w:rPr>
          <w:rFonts w:ascii="Verdana" w:hAnsi="Verdana" w:cs="Verdana"/>
          <w:sz w:val="20"/>
          <w:szCs w:val="20"/>
        </w:rPr>
        <w:t xml:space="preserve">were also matched to the real life demand </w:t>
      </w:r>
      <w:proofErr w:type="gramStart"/>
      <w:r>
        <w:rPr>
          <w:rFonts w:ascii="Verdana" w:hAnsi="Verdana" w:cs="Verdana"/>
          <w:sz w:val="20"/>
          <w:szCs w:val="20"/>
        </w:rPr>
        <w:t>pattern,</w:t>
      </w:r>
      <w:proofErr w:type="gramEnd"/>
      <w:r>
        <w:rPr>
          <w:rFonts w:ascii="Verdana" w:hAnsi="Verdana" w:cs="Verdana"/>
          <w:sz w:val="20"/>
          <w:szCs w:val="20"/>
        </w:rPr>
        <w:t xml:space="preserve"> see </w:t>
      </w:r>
      <w:r w:rsidR="005A676E">
        <w:fldChar w:fldCharType="begin"/>
      </w:r>
      <w:r w:rsidR="005A676E">
        <w:instrText xml:space="preserve"> REF _Ref356636782 \h  \* MERGEFORMAT </w:instrText>
      </w:r>
      <w:r w:rsidR="005A676E">
        <w:fldChar w:fldCharType="separate"/>
      </w:r>
      <w:r w:rsidRPr="008F1B5F">
        <w:rPr>
          <w:rFonts w:ascii="Verdana" w:hAnsi="Verdana" w:cs="Verdana"/>
          <w:sz w:val="20"/>
          <w:szCs w:val="20"/>
        </w:rPr>
        <w:t>Table 2</w:t>
      </w:r>
      <w:r w:rsidR="005A676E">
        <w:fldChar w:fldCharType="end"/>
      </w:r>
      <w:r>
        <w:t xml:space="preserve"> </w:t>
      </w:r>
      <w:r w:rsidRPr="003A53AE">
        <w:rPr>
          <w:rFonts w:ascii="Verdana" w:hAnsi="Verdana" w:cs="Verdana"/>
          <w:sz w:val="20"/>
          <w:szCs w:val="20"/>
        </w:rPr>
        <w:t>for numerical values</w:t>
      </w:r>
      <w:r>
        <w:rPr>
          <w:rFonts w:ascii="Verdana" w:hAnsi="Verdana" w:cs="Verdana"/>
          <w:sz w:val="20"/>
          <w:szCs w:val="20"/>
        </w:rPr>
        <w:t>. Product value densities (PVD), on the basis of UK manufactured costs, are also shown in terms of cube &amp; weight. The AR(1) d</w:t>
      </w:r>
      <w:r w:rsidRPr="00F07C05">
        <w:rPr>
          <w:rFonts w:ascii="Verdana" w:hAnsi="Verdana" w:cs="Verdana"/>
          <w:sz w:val="20"/>
          <w:szCs w:val="20"/>
        </w:rPr>
        <w:t xml:space="preserve">emand </w:t>
      </w:r>
      <w:r>
        <w:rPr>
          <w:rFonts w:ascii="Verdana" w:hAnsi="Verdana" w:cs="Verdana"/>
          <w:sz w:val="20"/>
          <w:szCs w:val="20"/>
        </w:rPr>
        <w:t>process has a variance of</w:t>
      </w:r>
      <w:r w:rsidRPr="00F07C05">
        <w:rPr>
          <w:rFonts w:ascii="Verdana" w:hAnsi="Verdana" w:cs="Verdana"/>
          <w:sz w:val="20"/>
          <w:szCs w:val="20"/>
        </w:rPr>
        <w:t xml:space="preserve"> </w:t>
      </w:r>
    </w:p>
    <w:tbl>
      <w:tblPr>
        <w:tblW w:w="0" w:type="auto"/>
        <w:tblLook w:val="00A0" w:firstRow="1" w:lastRow="0" w:firstColumn="1" w:lastColumn="0" w:noHBand="0" w:noVBand="0"/>
      </w:tblPr>
      <w:tblGrid>
        <w:gridCol w:w="8388"/>
        <w:gridCol w:w="854"/>
      </w:tblGrid>
      <w:tr w:rsidR="00454BC8" w:rsidRPr="002A2A2D">
        <w:tc>
          <w:tcPr>
            <w:tcW w:w="8388" w:type="dxa"/>
          </w:tcPr>
          <w:p w:rsidR="00454BC8" w:rsidRPr="002A2A2D" w:rsidRDefault="00454BC8" w:rsidP="002A2A2D">
            <w:pPr>
              <w:spacing w:after="0" w:line="240" w:lineRule="auto"/>
              <w:jc w:val="both"/>
              <w:rPr>
                <w:rFonts w:ascii="Verdana" w:hAnsi="Verdana" w:cs="Verdana"/>
                <w:sz w:val="20"/>
                <w:szCs w:val="20"/>
              </w:rPr>
            </w:pPr>
            <w:r w:rsidRPr="001D6F12">
              <w:rPr>
                <w:rFonts w:ascii="Verdana" w:eastAsia="Times New Roman" w:hAnsi="Verdana" w:cs="Times New Roman"/>
                <w:color w:val="000000"/>
                <w:position w:val="-16"/>
                <w:sz w:val="20"/>
                <w:szCs w:val="20"/>
              </w:rPr>
              <w:object w:dxaOrig="1780" w:dyaOrig="440">
                <v:shape id="_x0000_i1029" type="#_x0000_t75" style="width:88.5pt;height:21pt" o:ole="">
                  <v:imagedata r:id="rId14" o:title=""/>
                </v:shape>
                <o:OLEObject Type="Embed" ProgID="Equation.DSMT4" ShapeID="_x0000_i1029" DrawAspect="Content" ObjectID="_1430551558" r:id="rId15"/>
              </w:object>
            </w:r>
            <w:r w:rsidRPr="002A2A2D">
              <w:rPr>
                <w:rFonts w:ascii="Verdana" w:hAnsi="Verdana" w:cs="Verdana"/>
                <w:color w:val="000000"/>
                <w:sz w:val="20"/>
                <w:szCs w:val="20"/>
              </w:rPr>
              <w:t>.</w:t>
            </w:r>
          </w:p>
        </w:tc>
        <w:tc>
          <w:tcPr>
            <w:tcW w:w="854" w:type="dxa"/>
            <w:vAlign w:val="center"/>
          </w:tcPr>
          <w:p w:rsidR="00454BC8" w:rsidRPr="002A2A2D" w:rsidRDefault="00454BC8" w:rsidP="00270A5F">
            <w:pPr>
              <w:spacing w:after="0" w:line="280" w:lineRule="exact"/>
              <w:jc w:val="right"/>
              <w:rPr>
                <w:rFonts w:ascii="Verdana" w:hAnsi="Verdana" w:cs="Verdana"/>
                <w:sz w:val="20"/>
                <w:szCs w:val="20"/>
              </w:rPr>
            </w:pPr>
            <w:r>
              <w:rPr>
                <w:rFonts w:ascii="Verdana" w:hAnsi="Verdana" w:cs="Verdana"/>
                <w:sz w:val="20"/>
                <w:szCs w:val="20"/>
              </w:rPr>
              <w:fldChar w:fldCharType="begin"/>
            </w:r>
            <w:r>
              <w:rPr>
                <w:rFonts w:ascii="Verdana" w:hAnsi="Verdana" w:cs="Verdana"/>
                <w:sz w:val="20"/>
                <w:szCs w:val="20"/>
              </w:rPr>
              <w:instrText xml:space="preserve"> MACROBUTTON MTPlaceRef \* MERGEFORMAT </w:instrText>
            </w:r>
            <w:r>
              <w:rPr>
                <w:rFonts w:ascii="Verdana" w:hAnsi="Verdana" w:cs="Verdana"/>
                <w:sz w:val="20"/>
                <w:szCs w:val="20"/>
              </w:rPr>
              <w:fldChar w:fldCharType="begin"/>
            </w:r>
            <w:r>
              <w:rPr>
                <w:rFonts w:ascii="Verdana" w:hAnsi="Verdana" w:cs="Verdana"/>
                <w:sz w:val="20"/>
                <w:szCs w:val="20"/>
              </w:rPr>
              <w:instrText xml:space="preserve"> SEQ MTEqn \h \* MERGEFORMAT </w:instrText>
            </w:r>
            <w:r>
              <w:rPr>
                <w:rFonts w:ascii="Verdana" w:hAnsi="Verdana" w:cs="Verdana"/>
                <w:sz w:val="20"/>
                <w:szCs w:val="20"/>
              </w:rPr>
              <w:fldChar w:fldCharType="end"/>
            </w:r>
            <w:r>
              <w:rPr>
                <w:rFonts w:ascii="Verdana" w:hAnsi="Verdana" w:cs="Verdana"/>
                <w:sz w:val="20"/>
                <w:szCs w:val="20"/>
              </w:rPr>
              <w:instrText>(</w:instrText>
            </w:r>
            <w:fldSimple w:instr=" SEQ MTSec \c \* Arabic \* MERGEFORMAT ">
              <w:r w:rsidRPr="008F1B5F">
                <w:rPr>
                  <w:rFonts w:ascii="Verdana" w:hAnsi="Verdana" w:cs="Verdana"/>
                  <w:noProof/>
                  <w:sz w:val="20"/>
                  <w:szCs w:val="20"/>
                </w:rPr>
                <w:instrText>1</w:instrText>
              </w:r>
            </w:fldSimple>
            <w:r>
              <w:rPr>
                <w:rFonts w:ascii="Verdana" w:hAnsi="Verdana" w:cs="Verdana"/>
                <w:sz w:val="20"/>
                <w:szCs w:val="20"/>
              </w:rPr>
              <w:instrText>.</w:instrText>
            </w:r>
            <w:fldSimple w:instr=" SEQ MTEqn \c \* Arabic \* MERGEFORMAT ">
              <w:r w:rsidRPr="008F1B5F">
                <w:rPr>
                  <w:rFonts w:ascii="Verdana" w:hAnsi="Verdana" w:cs="Verdana"/>
                  <w:noProof/>
                  <w:sz w:val="20"/>
                  <w:szCs w:val="20"/>
                </w:rPr>
                <w:instrText>2</w:instrText>
              </w:r>
            </w:fldSimple>
            <w:r>
              <w:rPr>
                <w:rFonts w:ascii="Verdana" w:hAnsi="Verdana" w:cs="Verdana"/>
                <w:sz w:val="20"/>
                <w:szCs w:val="20"/>
              </w:rPr>
              <w:instrText>)</w:instrText>
            </w:r>
            <w:r>
              <w:rPr>
                <w:rFonts w:ascii="Verdana" w:hAnsi="Verdana" w:cs="Verdana"/>
                <w:sz w:val="20"/>
                <w:szCs w:val="20"/>
              </w:rPr>
              <w:fldChar w:fldCharType="end"/>
            </w:r>
          </w:p>
        </w:tc>
      </w:tr>
    </w:tbl>
    <w:p w:rsidR="00454BC8" w:rsidRDefault="00454BC8" w:rsidP="003D1AD5">
      <w:pPr>
        <w:spacing w:after="0" w:line="280" w:lineRule="exact"/>
        <w:jc w:val="both"/>
        <w:rPr>
          <w:rFonts w:ascii="Verdana" w:hAnsi="Verdana" w:cs="Verdana"/>
          <w:sz w:val="20"/>
          <w:szCs w:val="20"/>
        </w:rPr>
      </w:pPr>
      <w:r>
        <w:rPr>
          <w:rFonts w:ascii="Verdana" w:hAnsi="Verdana" w:cs="Verdana"/>
          <w:sz w:val="20"/>
          <w:szCs w:val="20"/>
        </w:rPr>
        <w:t>The companies employed an ‘order-up-to’ (periodic review) replenishment system which involves regular shipments &amp; variable order quantities. The order-up-to policy requires two forecasts. One of these forecasts is the demand over the lead-time. The other is a forecast of demand in the period after the lead-time. We use conditional expectation to</w:t>
      </w:r>
      <w:r w:rsidRPr="00607E3F">
        <w:rPr>
          <w:rFonts w:ascii="Verdana" w:hAnsi="Verdana" w:cs="Verdana"/>
          <w:sz w:val="20"/>
          <w:szCs w:val="20"/>
        </w:rPr>
        <w:t xml:space="preserve"> </w:t>
      </w:r>
      <w:r>
        <w:rPr>
          <w:rFonts w:ascii="Verdana" w:hAnsi="Verdana" w:cs="Verdana"/>
          <w:sz w:val="20"/>
          <w:szCs w:val="20"/>
        </w:rPr>
        <w:t>create these forecasts (details omitted for brevity, but details can be foun</w:t>
      </w:r>
      <w:r w:rsidR="00476329">
        <w:rPr>
          <w:rFonts w:ascii="Verdana" w:hAnsi="Verdana" w:cs="Verdana"/>
          <w:color w:val="000000"/>
          <w:sz w:val="20"/>
          <w:szCs w:val="20"/>
        </w:rPr>
        <w:t xml:space="preserve">d in </w:t>
      </w:r>
      <w:proofErr w:type="spellStart"/>
      <w:r w:rsidR="00476329">
        <w:rPr>
          <w:rFonts w:ascii="Verdana" w:hAnsi="Verdana" w:cs="Verdana"/>
          <w:color w:val="000000"/>
          <w:sz w:val="20"/>
          <w:szCs w:val="20"/>
        </w:rPr>
        <w:t>Hosoda</w:t>
      </w:r>
      <w:proofErr w:type="spellEnd"/>
      <w:r w:rsidR="00476329">
        <w:rPr>
          <w:rFonts w:ascii="Verdana" w:hAnsi="Verdana" w:cs="Verdana"/>
          <w:color w:val="000000"/>
          <w:sz w:val="20"/>
          <w:szCs w:val="20"/>
        </w:rPr>
        <w:t xml:space="preserve"> and Disney</w:t>
      </w:r>
      <w:r w:rsidRPr="00587382">
        <w:rPr>
          <w:rFonts w:ascii="Verdana" w:hAnsi="Verdana" w:cs="Verdana"/>
          <w:color w:val="000000"/>
          <w:sz w:val="20"/>
          <w:szCs w:val="20"/>
        </w:rPr>
        <w:t xml:space="preserve"> </w:t>
      </w:r>
      <w:r w:rsidR="00476329">
        <w:rPr>
          <w:rFonts w:ascii="Verdana" w:hAnsi="Verdana" w:cs="Verdana"/>
          <w:color w:val="000000"/>
          <w:sz w:val="20"/>
          <w:szCs w:val="20"/>
        </w:rPr>
        <w:t>(</w:t>
      </w:r>
      <w:r w:rsidRPr="00587382">
        <w:rPr>
          <w:rFonts w:ascii="Verdana" w:hAnsi="Verdana" w:cs="Verdana"/>
          <w:color w:val="000000"/>
          <w:sz w:val="20"/>
          <w:szCs w:val="20"/>
        </w:rPr>
        <w:t>2006).</w:t>
      </w:r>
      <w:r>
        <w:rPr>
          <w:rFonts w:ascii="Verdana" w:hAnsi="Verdana" w:cs="Verdana"/>
          <w:color w:val="000000"/>
          <w:sz w:val="20"/>
          <w:szCs w:val="20"/>
        </w:rPr>
        <w:t xml:space="preserve"> </w:t>
      </w:r>
      <w:r w:rsidRPr="00587382">
        <w:rPr>
          <w:rFonts w:ascii="Verdana" w:hAnsi="Verdana" w:cs="Verdana"/>
          <w:color w:val="000000"/>
          <w:sz w:val="20"/>
          <w:szCs w:val="20"/>
        </w:rPr>
        <w:t>It then follows</w:t>
      </w:r>
      <w:r>
        <w:rPr>
          <w:rFonts w:ascii="Verdana" w:hAnsi="Verdana" w:cs="Verdana"/>
          <w:sz w:val="20"/>
          <w:szCs w:val="20"/>
        </w:rPr>
        <w:t xml:space="preserve"> that the variance of the replenishment order placed on</w:t>
      </w:r>
      <w:r w:rsidRPr="001D6F12">
        <w:rPr>
          <w:rFonts w:ascii="Verdana" w:hAnsi="Verdana" w:cs="Verdana"/>
          <w:sz w:val="20"/>
          <w:szCs w:val="20"/>
        </w:rPr>
        <w:t xml:space="preserve"> </w:t>
      </w:r>
      <w:r>
        <w:rPr>
          <w:rFonts w:ascii="Verdana" w:hAnsi="Verdana" w:cs="Verdana"/>
          <w:sz w:val="20"/>
          <w:szCs w:val="20"/>
        </w:rPr>
        <w:t>the Chinese supplier or UK factory is given by</w:t>
      </w:r>
      <w:r w:rsidRPr="00F07C05">
        <w:rPr>
          <w:rFonts w:ascii="Verdana" w:hAnsi="Verdana" w:cs="Verdana"/>
          <w:sz w:val="20"/>
          <w:szCs w:val="20"/>
        </w:rPr>
        <w:t>,</w:t>
      </w:r>
    </w:p>
    <w:tbl>
      <w:tblPr>
        <w:tblW w:w="0" w:type="auto"/>
        <w:tblLook w:val="00A0" w:firstRow="1" w:lastRow="0" w:firstColumn="1" w:lastColumn="0" w:noHBand="0" w:noVBand="0"/>
      </w:tblPr>
      <w:tblGrid>
        <w:gridCol w:w="8188"/>
        <w:gridCol w:w="1054"/>
      </w:tblGrid>
      <w:tr w:rsidR="00454BC8" w:rsidRPr="002A2A2D">
        <w:tc>
          <w:tcPr>
            <w:tcW w:w="8188" w:type="dxa"/>
          </w:tcPr>
          <w:p w:rsidR="00454BC8" w:rsidRPr="002A2A2D" w:rsidRDefault="00454BC8" w:rsidP="003D1AD5">
            <w:pPr>
              <w:spacing w:after="0" w:line="240" w:lineRule="auto"/>
              <w:jc w:val="both"/>
              <w:rPr>
                <w:rFonts w:ascii="Verdana" w:hAnsi="Verdana" w:cs="Verdana"/>
                <w:sz w:val="20"/>
                <w:szCs w:val="20"/>
              </w:rPr>
            </w:pPr>
            <w:r w:rsidRPr="001D6F12">
              <w:rPr>
                <w:rFonts w:ascii="Verdana" w:eastAsia="Times New Roman" w:hAnsi="Verdana" w:cs="Times New Roman"/>
                <w:position w:val="-20"/>
                <w:sz w:val="20"/>
                <w:szCs w:val="20"/>
              </w:rPr>
              <w:object w:dxaOrig="5480" w:dyaOrig="520">
                <v:shape id="_x0000_i1030" type="#_x0000_t75" style="width:268.5pt;height:26.25pt" o:ole="">
                  <v:imagedata r:id="rId16" o:title=""/>
                </v:shape>
                <o:OLEObject Type="Embed" ProgID="Equation.DSMT4" ShapeID="_x0000_i1030" DrawAspect="Content" ObjectID="_1430551559" r:id="rId17"/>
              </w:object>
            </w:r>
            <w:r>
              <w:rPr>
                <w:rFonts w:ascii="Verdana" w:hAnsi="Verdana" w:cs="Verdana"/>
                <w:sz w:val="20"/>
                <w:szCs w:val="20"/>
              </w:rPr>
              <w:t>,</w:t>
            </w:r>
          </w:p>
        </w:tc>
        <w:tc>
          <w:tcPr>
            <w:tcW w:w="1054" w:type="dxa"/>
            <w:vAlign w:val="center"/>
          </w:tcPr>
          <w:p w:rsidR="00454BC8" w:rsidRPr="002A2A2D" w:rsidRDefault="00454BC8" w:rsidP="003D1AD5">
            <w:pPr>
              <w:spacing w:after="0" w:line="280" w:lineRule="exact"/>
              <w:jc w:val="right"/>
              <w:rPr>
                <w:rFonts w:ascii="Verdana" w:hAnsi="Verdana" w:cs="Verdana"/>
                <w:sz w:val="20"/>
                <w:szCs w:val="20"/>
              </w:rPr>
            </w:pPr>
            <w:r>
              <w:rPr>
                <w:rFonts w:ascii="Verdana" w:hAnsi="Verdana" w:cs="Verdana"/>
                <w:sz w:val="20"/>
                <w:szCs w:val="20"/>
              </w:rPr>
              <w:fldChar w:fldCharType="begin"/>
            </w:r>
            <w:r>
              <w:rPr>
                <w:rFonts w:ascii="Verdana" w:hAnsi="Verdana" w:cs="Verdana"/>
                <w:sz w:val="20"/>
                <w:szCs w:val="20"/>
              </w:rPr>
              <w:instrText xml:space="preserve"> MACROBUTTON MTPlaceRef \* MERGEFORMAT </w:instrText>
            </w:r>
            <w:r>
              <w:rPr>
                <w:rFonts w:ascii="Verdana" w:hAnsi="Verdana" w:cs="Verdana"/>
                <w:sz w:val="20"/>
                <w:szCs w:val="20"/>
              </w:rPr>
              <w:fldChar w:fldCharType="begin"/>
            </w:r>
            <w:r>
              <w:rPr>
                <w:rFonts w:ascii="Verdana" w:hAnsi="Verdana" w:cs="Verdana"/>
                <w:sz w:val="20"/>
                <w:szCs w:val="20"/>
              </w:rPr>
              <w:instrText xml:space="preserve"> SEQ MTEqn \h \* MERGEFORMAT </w:instrText>
            </w:r>
            <w:r>
              <w:rPr>
                <w:rFonts w:ascii="Verdana" w:hAnsi="Verdana" w:cs="Verdana"/>
                <w:sz w:val="20"/>
                <w:szCs w:val="20"/>
              </w:rPr>
              <w:fldChar w:fldCharType="end"/>
            </w:r>
            <w:bookmarkStart w:id="1" w:name="ZEqnNum249913"/>
            <w:r>
              <w:rPr>
                <w:rFonts w:ascii="Verdana" w:hAnsi="Verdana" w:cs="Verdana"/>
                <w:sz w:val="20"/>
                <w:szCs w:val="20"/>
              </w:rPr>
              <w:instrText>(</w:instrText>
            </w:r>
            <w:fldSimple w:instr=" SEQ MTEqn \c \* Arabic \* MERGEFORMAT ">
              <w:r w:rsidRPr="008F1B5F">
                <w:rPr>
                  <w:rFonts w:ascii="Verdana" w:hAnsi="Verdana" w:cs="Verdana"/>
                  <w:noProof/>
                  <w:sz w:val="20"/>
                  <w:szCs w:val="20"/>
                </w:rPr>
                <w:instrText>3</w:instrText>
              </w:r>
            </w:fldSimple>
            <w:r>
              <w:rPr>
                <w:rFonts w:ascii="Verdana" w:hAnsi="Verdana" w:cs="Verdana"/>
                <w:sz w:val="20"/>
                <w:szCs w:val="20"/>
              </w:rPr>
              <w:instrText>)</w:instrText>
            </w:r>
            <w:bookmarkEnd w:id="1"/>
            <w:r>
              <w:rPr>
                <w:rFonts w:ascii="Verdana" w:hAnsi="Verdana" w:cs="Verdana"/>
                <w:sz w:val="20"/>
                <w:szCs w:val="20"/>
              </w:rPr>
              <w:fldChar w:fldCharType="end"/>
            </w:r>
          </w:p>
        </w:tc>
      </w:tr>
    </w:tbl>
    <w:p w:rsidR="00454BC8" w:rsidRDefault="00454BC8" w:rsidP="00A215DA">
      <w:pPr>
        <w:spacing w:line="280" w:lineRule="exact"/>
        <w:jc w:val="both"/>
        <w:rPr>
          <w:rFonts w:ascii="Verdana" w:hAnsi="Verdana" w:cs="Verdana"/>
          <w:sz w:val="20"/>
          <w:szCs w:val="20"/>
        </w:rPr>
      </w:pPr>
      <w:proofErr w:type="gramStart"/>
      <w:r>
        <w:rPr>
          <w:rFonts w:ascii="Verdana" w:hAnsi="Verdana" w:cs="Verdana"/>
          <w:sz w:val="20"/>
          <w:szCs w:val="20"/>
        </w:rPr>
        <w:t>where</w:t>
      </w:r>
      <w:proofErr w:type="gramEnd"/>
      <w:r>
        <w:rPr>
          <w:rFonts w:ascii="Verdana" w:hAnsi="Verdana" w:cs="Verdana"/>
          <w:sz w:val="20"/>
          <w:szCs w:val="20"/>
        </w:rPr>
        <w:t xml:space="preserve"> </w:t>
      </w:r>
      <w:r w:rsidRPr="00D41BD1">
        <w:rPr>
          <w:rFonts w:ascii="Verdana" w:hAnsi="Verdana" w:cs="Verdana"/>
          <w:position w:val="-14"/>
          <w:sz w:val="20"/>
          <w:szCs w:val="20"/>
        </w:rPr>
        <w:object w:dxaOrig="279" w:dyaOrig="380">
          <v:shape id="_x0000_i1031" type="#_x0000_t75" style="width:15pt;height:18pt" o:ole="">
            <v:imagedata r:id="rId18" o:title=""/>
          </v:shape>
          <o:OLEObject Type="Embed" ProgID="Equation.DSMT4" ShapeID="_x0000_i1031" DrawAspect="Content" ObjectID="_1430551560" r:id="rId19"/>
        </w:object>
      </w:r>
      <w:r>
        <w:rPr>
          <w:rFonts w:ascii="Verdana" w:hAnsi="Verdana" w:cs="Verdana"/>
          <w:sz w:val="20"/>
          <w:szCs w:val="20"/>
        </w:rPr>
        <w:t xml:space="preserve"> is the replenishment lead-time, </w:t>
      </w:r>
      <w:r w:rsidRPr="00D41BD1">
        <w:rPr>
          <w:rFonts w:ascii="Verdana" w:hAnsi="Verdana" w:cs="Verdana"/>
          <w:position w:val="-14"/>
          <w:sz w:val="20"/>
          <w:szCs w:val="20"/>
        </w:rPr>
        <w:object w:dxaOrig="279" w:dyaOrig="380">
          <v:shape id="_x0000_i1032" type="#_x0000_t75" style="width:15pt;height:18pt" o:ole="">
            <v:imagedata r:id="rId18" o:title=""/>
          </v:shape>
          <o:OLEObject Type="Embed" ProgID="Equation.DSMT4" ShapeID="_x0000_i1032" DrawAspect="Content" ObjectID="_1430551561" r:id="rId20"/>
        </w:object>
      </w:r>
      <w:r>
        <w:rPr>
          <w:rFonts w:ascii="Verdana" w:hAnsi="Verdana" w:cs="Verdana"/>
          <w:sz w:val="20"/>
          <w:szCs w:val="20"/>
        </w:rPr>
        <w:t xml:space="preserve">= 8 for China supply, </w:t>
      </w:r>
      <w:r w:rsidRPr="00D41BD1">
        <w:rPr>
          <w:rFonts w:ascii="Verdana" w:hAnsi="Verdana" w:cs="Verdana"/>
          <w:position w:val="-14"/>
          <w:sz w:val="20"/>
          <w:szCs w:val="20"/>
        </w:rPr>
        <w:object w:dxaOrig="279" w:dyaOrig="380">
          <v:shape id="_x0000_i1033" type="#_x0000_t75" style="width:15pt;height:18pt" o:ole="">
            <v:imagedata r:id="rId18" o:title=""/>
          </v:shape>
          <o:OLEObject Type="Embed" ProgID="Equation.DSMT4" ShapeID="_x0000_i1033" DrawAspect="Content" ObjectID="_1430551562" r:id="rId21"/>
        </w:object>
      </w:r>
      <w:r>
        <w:rPr>
          <w:rFonts w:ascii="Verdana" w:hAnsi="Verdana" w:cs="Verdana"/>
          <w:sz w:val="20"/>
          <w:szCs w:val="20"/>
        </w:rPr>
        <w:t xml:space="preserve">= 2 for UK supply. The inventory variance </w:t>
      </w:r>
      <w:r w:rsidRPr="00587382">
        <w:rPr>
          <w:rFonts w:ascii="Verdana" w:hAnsi="Verdana" w:cs="Verdana"/>
          <w:color w:val="000000"/>
          <w:sz w:val="20"/>
          <w:szCs w:val="20"/>
        </w:rPr>
        <w:t>(Disney</w:t>
      </w:r>
      <w:r>
        <w:rPr>
          <w:rFonts w:ascii="Verdana" w:hAnsi="Verdana" w:cs="Verdana"/>
          <w:color w:val="000000"/>
          <w:sz w:val="20"/>
          <w:szCs w:val="20"/>
        </w:rPr>
        <w:t xml:space="preserve"> &amp;</w:t>
      </w:r>
      <w:r w:rsidRPr="00587382">
        <w:rPr>
          <w:rFonts w:ascii="Verdana" w:hAnsi="Verdana" w:cs="Verdana"/>
          <w:color w:val="000000"/>
          <w:sz w:val="20"/>
          <w:szCs w:val="20"/>
        </w:rPr>
        <w:t xml:space="preserve"> </w:t>
      </w:r>
      <w:proofErr w:type="spellStart"/>
      <w:r w:rsidRPr="00587382">
        <w:rPr>
          <w:rFonts w:ascii="Verdana" w:hAnsi="Verdana" w:cs="Verdana"/>
          <w:color w:val="000000"/>
          <w:sz w:val="20"/>
          <w:szCs w:val="20"/>
        </w:rPr>
        <w:t>Hosoda</w:t>
      </w:r>
      <w:proofErr w:type="spellEnd"/>
      <w:r w:rsidRPr="00587382">
        <w:rPr>
          <w:rFonts w:ascii="Verdana" w:hAnsi="Verdana" w:cs="Verdana"/>
          <w:color w:val="000000"/>
          <w:sz w:val="20"/>
          <w:szCs w:val="20"/>
        </w:rPr>
        <w:t>, 2006) is</w:t>
      </w:r>
      <w:r>
        <w:rPr>
          <w:rFonts w:ascii="Verdana" w:hAnsi="Verdana" w:cs="Verdana"/>
          <w:sz w:val="20"/>
          <w:szCs w:val="20"/>
        </w:rPr>
        <w:t xml:space="preserve"> likewise given by</w:t>
      </w:r>
    </w:p>
    <w:tbl>
      <w:tblPr>
        <w:tblW w:w="0" w:type="auto"/>
        <w:tblLook w:val="00A0" w:firstRow="1" w:lastRow="0" w:firstColumn="1" w:lastColumn="0" w:noHBand="0" w:noVBand="0"/>
      </w:tblPr>
      <w:tblGrid>
        <w:gridCol w:w="8188"/>
        <w:gridCol w:w="1054"/>
      </w:tblGrid>
      <w:tr w:rsidR="00454BC8" w:rsidRPr="002A2A2D" w:rsidTr="00FC2C7C">
        <w:tc>
          <w:tcPr>
            <w:tcW w:w="8188" w:type="dxa"/>
          </w:tcPr>
          <w:p w:rsidR="00454BC8" w:rsidRPr="002A2A2D" w:rsidRDefault="00454BC8" w:rsidP="00FC2C7C">
            <w:pPr>
              <w:spacing w:after="0" w:line="240" w:lineRule="auto"/>
              <w:jc w:val="both"/>
              <w:rPr>
                <w:rFonts w:ascii="Verdana" w:hAnsi="Verdana" w:cs="Verdana"/>
                <w:sz w:val="20"/>
                <w:szCs w:val="20"/>
              </w:rPr>
            </w:pPr>
            <w:r w:rsidRPr="001D6F12">
              <w:rPr>
                <w:rFonts w:ascii="Verdana" w:eastAsia="Times New Roman" w:hAnsi="Verdana" w:cs="Times New Roman"/>
                <w:position w:val="-18"/>
                <w:sz w:val="20"/>
                <w:szCs w:val="20"/>
              </w:rPr>
              <w:object w:dxaOrig="7020" w:dyaOrig="480">
                <v:shape id="_x0000_i1034" type="#_x0000_t75" style="width:351.75pt;height:24.75pt" o:ole="">
                  <v:imagedata r:id="rId22" o:title=""/>
                </v:shape>
                <o:OLEObject Type="Embed" ProgID="Equation.DSMT4" ShapeID="_x0000_i1034" DrawAspect="Content" ObjectID="_1430551563" r:id="rId23"/>
              </w:object>
            </w:r>
            <w:r>
              <w:rPr>
                <w:rFonts w:ascii="Verdana" w:hAnsi="Verdana" w:cs="Verdana"/>
                <w:sz w:val="20"/>
                <w:szCs w:val="20"/>
              </w:rPr>
              <w:t>.</w:t>
            </w:r>
          </w:p>
        </w:tc>
        <w:tc>
          <w:tcPr>
            <w:tcW w:w="1054" w:type="dxa"/>
            <w:vAlign w:val="center"/>
          </w:tcPr>
          <w:p w:rsidR="00454BC8" w:rsidRPr="002A2A2D" w:rsidRDefault="00454BC8" w:rsidP="00FC2C7C">
            <w:pPr>
              <w:spacing w:after="0" w:line="280" w:lineRule="exact"/>
              <w:jc w:val="right"/>
              <w:rPr>
                <w:rFonts w:ascii="Verdana" w:hAnsi="Verdana" w:cs="Verdana"/>
                <w:sz w:val="20"/>
                <w:szCs w:val="20"/>
              </w:rPr>
            </w:pPr>
            <w:r>
              <w:rPr>
                <w:rFonts w:ascii="Verdana" w:hAnsi="Verdana" w:cs="Verdana"/>
                <w:sz w:val="20"/>
                <w:szCs w:val="20"/>
              </w:rPr>
              <w:fldChar w:fldCharType="begin"/>
            </w:r>
            <w:r>
              <w:rPr>
                <w:rFonts w:ascii="Verdana" w:hAnsi="Verdana" w:cs="Verdana"/>
                <w:sz w:val="20"/>
                <w:szCs w:val="20"/>
              </w:rPr>
              <w:instrText xml:space="preserve"> MACROBUTTON MTPlaceRef \* MERGEFORMAT </w:instrText>
            </w:r>
            <w:r>
              <w:rPr>
                <w:rFonts w:ascii="Verdana" w:hAnsi="Verdana" w:cs="Verdana"/>
                <w:sz w:val="20"/>
                <w:szCs w:val="20"/>
              </w:rPr>
              <w:fldChar w:fldCharType="begin"/>
            </w:r>
            <w:r>
              <w:rPr>
                <w:rFonts w:ascii="Verdana" w:hAnsi="Verdana" w:cs="Verdana"/>
                <w:sz w:val="20"/>
                <w:szCs w:val="20"/>
              </w:rPr>
              <w:instrText xml:space="preserve"> SEQ MTEqn \h \* MERGEFORMAT </w:instrText>
            </w:r>
            <w:r>
              <w:rPr>
                <w:rFonts w:ascii="Verdana" w:hAnsi="Verdana" w:cs="Verdana"/>
                <w:sz w:val="20"/>
                <w:szCs w:val="20"/>
              </w:rPr>
              <w:fldChar w:fldCharType="end"/>
            </w:r>
            <w:bookmarkStart w:id="2" w:name="ZEqnNum417817"/>
            <w:r>
              <w:rPr>
                <w:rFonts w:ascii="Verdana" w:hAnsi="Verdana" w:cs="Verdana"/>
                <w:sz w:val="20"/>
                <w:szCs w:val="20"/>
              </w:rPr>
              <w:instrText>(</w:instrText>
            </w:r>
            <w:fldSimple w:instr=" SEQ MTEqn \c \* Arabic \* MERGEFORMAT ">
              <w:r w:rsidRPr="008F1B5F">
                <w:rPr>
                  <w:rFonts w:ascii="Verdana" w:hAnsi="Verdana" w:cs="Verdana"/>
                  <w:noProof/>
                  <w:sz w:val="20"/>
                  <w:szCs w:val="20"/>
                </w:rPr>
                <w:instrText>4</w:instrText>
              </w:r>
            </w:fldSimple>
            <w:r>
              <w:rPr>
                <w:rFonts w:ascii="Verdana" w:hAnsi="Verdana" w:cs="Verdana"/>
                <w:sz w:val="20"/>
                <w:szCs w:val="20"/>
              </w:rPr>
              <w:instrText>)</w:instrText>
            </w:r>
            <w:bookmarkEnd w:id="2"/>
            <w:r>
              <w:rPr>
                <w:rFonts w:ascii="Verdana" w:hAnsi="Verdana" w:cs="Verdana"/>
                <w:sz w:val="20"/>
                <w:szCs w:val="20"/>
              </w:rPr>
              <w:fldChar w:fldCharType="end"/>
            </w:r>
          </w:p>
        </w:tc>
      </w:tr>
    </w:tbl>
    <w:p w:rsidR="00454BC8" w:rsidRDefault="00454BC8" w:rsidP="003D1AD5">
      <w:pPr>
        <w:spacing w:line="280" w:lineRule="exact"/>
        <w:jc w:val="both"/>
        <w:rPr>
          <w:rFonts w:ascii="Verdana" w:hAnsi="Verdana" w:cs="Verdana"/>
          <w:sz w:val="20"/>
          <w:szCs w:val="20"/>
        </w:rPr>
      </w:pPr>
      <w:r w:rsidRPr="00587382">
        <w:rPr>
          <w:rFonts w:ascii="Verdana" w:hAnsi="Verdana" w:cs="Verdana"/>
          <w:sz w:val="20"/>
          <w:szCs w:val="20"/>
        </w:rPr>
        <w:t>The order</w:t>
      </w:r>
      <w:r>
        <w:rPr>
          <w:rFonts w:ascii="Verdana" w:hAnsi="Verdana" w:cs="Verdana"/>
          <w:sz w:val="20"/>
          <w:szCs w:val="20"/>
        </w:rPr>
        <w:t xml:space="preserve"> &amp;</w:t>
      </w:r>
      <w:r w:rsidRPr="00587382">
        <w:rPr>
          <w:rFonts w:ascii="Verdana" w:hAnsi="Verdana" w:cs="Verdana"/>
          <w:sz w:val="20"/>
          <w:szCs w:val="20"/>
        </w:rPr>
        <w:t xml:space="preserve"> inventory </w:t>
      </w:r>
      <w:r w:rsidR="00476329">
        <w:rPr>
          <w:rFonts w:ascii="Verdana" w:hAnsi="Verdana" w:cs="Verdana"/>
          <w:sz w:val="20"/>
          <w:szCs w:val="20"/>
        </w:rPr>
        <w:t xml:space="preserve">variances </w:t>
      </w:r>
      <w:r w:rsidRPr="00587382">
        <w:rPr>
          <w:rFonts w:ascii="Verdana" w:hAnsi="Verdana" w:cs="Verdana"/>
          <w:sz w:val="20"/>
          <w:szCs w:val="20"/>
        </w:rPr>
        <w:t>produce dynamic costs in supply chains.</w:t>
      </w:r>
      <w:r>
        <w:rPr>
          <w:rFonts w:ascii="Verdana" w:hAnsi="Verdana" w:cs="Verdana"/>
          <w:sz w:val="20"/>
          <w:szCs w:val="20"/>
        </w:rPr>
        <w:t xml:space="preserve"> </w:t>
      </w:r>
      <w:r w:rsidRPr="00587382">
        <w:rPr>
          <w:rFonts w:ascii="Verdana" w:hAnsi="Verdana" w:cs="Verdana"/>
          <w:sz w:val="20"/>
          <w:szCs w:val="20"/>
        </w:rPr>
        <w:t>The inventory variance</w:t>
      </w:r>
      <w:r w:rsidRPr="00A215DA">
        <w:rPr>
          <w:rFonts w:ascii="Verdana" w:hAnsi="Verdana" w:cs="Verdana"/>
          <w:sz w:val="20"/>
          <w:szCs w:val="20"/>
        </w:rPr>
        <w:t xml:space="preserve"> </w:t>
      </w:r>
      <w:r w:rsidRPr="00587382">
        <w:rPr>
          <w:rFonts w:ascii="Verdana" w:hAnsi="Verdana" w:cs="Verdana"/>
          <w:sz w:val="20"/>
          <w:szCs w:val="20"/>
        </w:rPr>
        <w:t>creates a need to hold inventory in the UK warehouse.</w:t>
      </w:r>
      <w:r>
        <w:rPr>
          <w:rFonts w:ascii="Verdana" w:hAnsi="Verdana" w:cs="Verdana"/>
          <w:sz w:val="20"/>
          <w:szCs w:val="20"/>
        </w:rPr>
        <w:t xml:space="preserve"> </w:t>
      </w:r>
      <w:r w:rsidRPr="00587382">
        <w:rPr>
          <w:rFonts w:ascii="Verdana" w:hAnsi="Verdana" w:cs="Verdana"/>
          <w:sz w:val="20"/>
          <w:szCs w:val="20"/>
        </w:rPr>
        <w:t>The ordering variance creates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9"/>
        <w:gridCol w:w="1049"/>
        <w:gridCol w:w="1336"/>
        <w:gridCol w:w="1523"/>
        <w:gridCol w:w="1733"/>
        <w:gridCol w:w="1379"/>
        <w:gridCol w:w="1003"/>
      </w:tblGrid>
      <w:tr w:rsidR="00454BC8" w:rsidRPr="002A2A2D">
        <w:tc>
          <w:tcPr>
            <w:tcW w:w="121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Case</w:t>
            </w:r>
          </w:p>
        </w:tc>
        <w:tc>
          <w:tcPr>
            <w:tcW w:w="104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Product</w:t>
            </w:r>
          </w:p>
        </w:tc>
        <w:tc>
          <w:tcPr>
            <w:tcW w:w="1336"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Mean demand</w:t>
            </w:r>
            <w:r w:rsidRPr="002A2A2D">
              <w:rPr>
                <w:rFonts w:ascii="Verdana" w:eastAsia="Times New Roman" w:hAnsi="Verdana" w:cs="Times New Roman"/>
                <w:position w:val="-12"/>
                <w:sz w:val="20"/>
                <w:szCs w:val="20"/>
              </w:rPr>
              <w:object w:dxaOrig="320" w:dyaOrig="360">
                <v:shape id="_x0000_i1035" type="#_x0000_t75" style="width:15pt;height:18pt" o:ole="">
                  <v:imagedata r:id="rId24" o:title=""/>
                </v:shape>
                <o:OLEObject Type="Embed" ProgID="Equation.DSMT4" ShapeID="_x0000_i1035" DrawAspect="Content" ObjectID="_1430551564" r:id="rId25"/>
              </w:object>
            </w:r>
          </w:p>
        </w:tc>
        <w:tc>
          <w:tcPr>
            <w:tcW w:w="152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 xml:space="preserve">Standard deviation </w:t>
            </w:r>
            <w:r w:rsidRPr="002A2A2D">
              <w:rPr>
                <w:rFonts w:ascii="Verdana" w:eastAsia="Times New Roman" w:hAnsi="Verdana" w:cs="Times New Roman"/>
                <w:position w:val="-12"/>
                <w:sz w:val="20"/>
                <w:szCs w:val="20"/>
              </w:rPr>
              <w:object w:dxaOrig="300" w:dyaOrig="360">
                <v:shape id="_x0000_i1036" type="#_x0000_t75" style="width:15pt;height:18pt" o:ole="">
                  <v:imagedata r:id="rId26" o:title=""/>
                </v:shape>
                <o:OLEObject Type="Embed" ProgID="Equation.DSMT4" ShapeID="_x0000_i1036" DrawAspect="Content" ObjectID="_1430551565" r:id="rId27"/>
              </w:object>
            </w:r>
          </w:p>
        </w:tc>
        <w:tc>
          <w:tcPr>
            <w:tcW w:w="1733" w:type="dxa"/>
            <w:vAlign w:val="center"/>
          </w:tcPr>
          <w:p w:rsidR="00454BC8" w:rsidRPr="002A2A2D" w:rsidRDefault="00454BC8" w:rsidP="00763D9F">
            <w:pPr>
              <w:spacing w:after="0" w:line="280" w:lineRule="exact"/>
              <w:jc w:val="center"/>
              <w:rPr>
                <w:rFonts w:ascii="Verdana" w:hAnsi="Verdana" w:cs="Verdana"/>
                <w:sz w:val="20"/>
                <w:szCs w:val="20"/>
              </w:rPr>
            </w:pPr>
            <w:r>
              <w:rPr>
                <w:rFonts w:ascii="Verdana" w:hAnsi="Verdana" w:cs="Verdana"/>
                <w:sz w:val="20"/>
                <w:szCs w:val="20"/>
              </w:rPr>
              <w:t>Auto</w:t>
            </w:r>
            <w:r w:rsidRPr="002A2A2D">
              <w:rPr>
                <w:rFonts w:ascii="Verdana" w:hAnsi="Verdana" w:cs="Verdana"/>
                <w:sz w:val="20"/>
                <w:szCs w:val="20"/>
              </w:rPr>
              <w:t xml:space="preserve">regressive co-efficient </w:t>
            </w:r>
            <w:r w:rsidRPr="002A2A2D">
              <w:rPr>
                <w:rFonts w:ascii="Verdana" w:eastAsia="Times New Roman" w:hAnsi="Verdana" w:cs="Times New Roman"/>
                <w:position w:val="-10"/>
                <w:sz w:val="20"/>
                <w:szCs w:val="20"/>
              </w:rPr>
              <w:object w:dxaOrig="200" w:dyaOrig="320">
                <v:shape id="_x0000_i1037" type="#_x0000_t75" style="width:9.75pt;height:15pt" o:ole="">
                  <v:imagedata r:id="rId28" o:title=""/>
                </v:shape>
                <o:OLEObject Type="Embed" ProgID="Equation.DSMT4" ShapeID="_x0000_i1037" DrawAspect="Content" ObjectID="_1430551566" r:id="rId29"/>
              </w:object>
            </w:r>
          </w:p>
        </w:tc>
        <w:tc>
          <w:tcPr>
            <w:tcW w:w="137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PVD</w:t>
            </w:r>
          </w:p>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(£/m</w:t>
            </w:r>
            <w:r w:rsidRPr="002A2A2D">
              <w:rPr>
                <w:rFonts w:ascii="Verdana" w:hAnsi="Verdana" w:cs="Verdana"/>
                <w:sz w:val="20"/>
                <w:szCs w:val="20"/>
                <w:vertAlign w:val="superscript"/>
              </w:rPr>
              <w:t>3</w:t>
            </w:r>
            <w:r w:rsidRPr="002A2A2D">
              <w:rPr>
                <w:rFonts w:ascii="Verdana" w:hAnsi="Verdana" w:cs="Verdana"/>
                <w:sz w:val="20"/>
                <w:szCs w:val="20"/>
              </w:rPr>
              <w:t>)</w:t>
            </w:r>
          </w:p>
        </w:tc>
        <w:tc>
          <w:tcPr>
            <w:tcW w:w="100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PVD</w:t>
            </w:r>
          </w:p>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(£/Kg)</w:t>
            </w:r>
          </w:p>
        </w:tc>
      </w:tr>
      <w:tr w:rsidR="00454BC8" w:rsidRPr="002A2A2D">
        <w:tc>
          <w:tcPr>
            <w:tcW w:w="121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 xml:space="preserve">Beds 4 </w:t>
            </w:r>
            <w:r>
              <w:rPr>
                <w:rFonts w:ascii="Verdana" w:hAnsi="Verdana" w:cs="Verdana"/>
                <w:sz w:val="20"/>
                <w:szCs w:val="20"/>
              </w:rPr>
              <w:t>You</w:t>
            </w:r>
          </w:p>
        </w:tc>
        <w:tc>
          <w:tcPr>
            <w:tcW w:w="104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Double beds</w:t>
            </w:r>
          </w:p>
        </w:tc>
        <w:tc>
          <w:tcPr>
            <w:tcW w:w="1336"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5400</w:t>
            </w:r>
          </w:p>
        </w:tc>
        <w:tc>
          <w:tcPr>
            <w:tcW w:w="152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250</w:t>
            </w:r>
          </w:p>
        </w:tc>
        <w:tc>
          <w:tcPr>
            <w:tcW w:w="173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0.7</w:t>
            </w:r>
          </w:p>
        </w:tc>
        <w:tc>
          <w:tcPr>
            <w:tcW w:w="137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141.36</w:t>
            </w:r>
          </w:p>
        </w:tc>
        <w:tc>
          <w:tcPr>
            <w:tcW w:w="100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1.50</w:t>
            </w:r>
          </w:p>
        </w:tc>
      </w:tr>
      <w:tr w:rsidR="00454BC8" w:rsidRPr="002A2A2D">
        <w:tc>
          <w:tcPr>
            <w:tcW w:w="1219" w:type="dxa"/>
            <w:vMerge w:val="restart"/>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Industrial</w:t>
            </w:r>
          </w:p>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Products</w:t>
            </w:r>
          </w:p>
        </w:tc>
        <w:tc>
          <w:tcPr>
            <w:tcW w:w="104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IP1</w:t>
            </w:r>
          </w:p>
        </w:tc>
        <w:tc>
          <w:tcPr>
            <w:tcW w:w="1336"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32</w:t>
            </w:r>
          </w:p>
        </w:tc>
        <w:tc>
          <w:tcPr>
            <w:tcW w:w="152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13.53</w:t>
            </w:r>
          </w:p>
        </w:tc>
        <w:tc>
          <w:tcPr>
            <w:tcW w:w="173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0.242</w:t>
            </w:r>
          </w:p>
        </w:tc>
        <w:tc>
          <w:tcPr>
            <w:tcW w:w="137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1,7122.62</w:t>
            </w:r>
          </w:p>
        </w:tc>
        <w:tc>
          <w:tcPr>
            <w:tcW w:w="100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26.02</w:t>
            </w:r>
          </w:p>
        </w:tc>
      </w:tr>
      <w:tr w:rsidR="00454BC8" w:rsidRPr="002A2A2D">
        <w:tc>
          <w:tcPr>
            <w:tcW w:w="1219" w:type="dxa"/>
            <w:vMerge/>
            <w:vAlign w:val="center"/>
          </w:tcPr>
          <w:p w:rsidR="00454BC8" w:rsidRPr="002A2A2D" w:rsidRDefault="00454BC8" w:rsidP="00763D9F">
            <w:pPr>
              <w:spacing w:after="0" w:line="280" w:lineRule="exact"/>
              <w:jc w:val="center"/>
              <w:rPr>
                <w:rFonts w:ascii="Verdana" w:hAnsi="Verdana" w:cs="Verdana"/>
                <w:sz w:val="20"/>
                <w:szCs w:val="20"/>
              </w:rPr>
            </w:pPr>
          </w:p>
        </w:tc>
        <w:tc>
          <w:tcPr>
            <w:tcW w:w="104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IP2</w:t>
            </w:r>
          </w:p>
        </w:tc>
        <w:tc>
          <w:tcPr>
            <w:tcW w:w="1336"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26</w:t>
            </w:r>
          </w:p>
        </w:tc>
        <w:tc>
          <w:tcPr>
            <w:tcW w:w="152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12.9</w:t>
            </w:r>
          </w:p>
        </w:tc>
        <w:tc>
          <w:tcPr>
            <w:tcW w:w="173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-0.02</w:t>
            </w:r>
          </w:p>
        </w:tc>
        <w:tc>
          <w:tcPr>
            <w:tcW w:w="137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25,103.54</w:t>
            </w:r>
          </w:p>
        </w:tc>
        <w:tc>
          <w:tcPr>
            <w:tcW w:w="100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68.28</w:t>
            </w:r>
          </w:p>
        </w:tc>
      </w:tr>
      <w:tr w:rsidR="00454BC8" w:rsidRPr="002A2A2D">
        <w:tc>
          <w:tcPr>
            <w:tcW w:w="1219" w:type="dxa"/>
            <w:vMerge/>
            <w:vAlign w:val="center"/>
          </w:tcPr>
          <w:p w:rsidR="00454BC8" w:rsidRPr="002A2A2D" w:rsidRDefault="00454BC8" w:rsidP="00763D9F">
            <w:pPr>
              <w:spacing w:after="0" w:line="280" w:lineRule="exact"/>
              <w:jc w:val="center"/>
              <w:rPr>
                <w:rFonts w:ascii="Verdana" w:hAnsi="Verdana" w:cs="Verdana"/>
                <w:sz w:val="20"/>
                <w:szCs w:val="20"/>
              </w:rPr>
            </w:pPr>
          </w:p>
        </w:tc>
        <w:tc>
          <w:tcPr>
            <w:tcW w:w="104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IP3</w:t>
            </w:r>
          </w:p>
        </w:tc>
        <w:tc>
          <w:tcPr>
            <w:tcW w:w="1336"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8</w:t>
            </w:r>
          </w:p>
        </w:tc>
        <w:tc>
          <w:tcPr>
            <w:tcW w:w="152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10.64</w:t>
            </w:r>
          </w:p>
        </w:tc>
        <w:tc>
          <w:tcPr>
            <w:tcW w:w="173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0.258</w:t>
            </w:r>
          </w:p>
        </w:tc>
        <w:tc>
          <w:tcPr>
            <w:tcW w:w="137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38,879.49</w:t>
            </w:r>
          </w:p>
        </w:tc>
        <w:tc>
          <w:tcPr>
            <w:tcW w:w="100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120.66</w:t>
            </w:r>
          </w:p>
        </w:tc>
      </w:tr>
      <w:tr w:rsidR="00454BC8" w:rsidRPr="002A2A2D">
        <w:tc>
          <w:tcPr>
            <w:tcW w:w="1219" w:type="dxa"/>
            <w:vMerge/>
            <w:vAlign w:val="center"/>
          </w:tcPr>
          <w:p w:rsidR="00454BC8" w:rsidRPr="002A2A2D" w:rsidRDefault="00454BC8" w:rsidP="00763D9F">
            <w:pPr>
              <w:spacing w:after="0" w:line="280" w:lineRule="exact"/>
              <w:jc w:val="center"/>
              <w:rPr>
                <w:rFonts w:ascii="Verdana" w:hAnsi="Verdana" w:cs="Verdana"/>
                <w:sz w:val="20"/>
                <w:szCs w:val="20"/>
              </w:rPr>
            </w:pPr>
          </w:p>
        </w:tc>
        <w:tc>
          <w:tcPr>
            <w:tcW w:w="104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IP4</w:t>
            </w:r>
          </w:p>
        </w:tc>
        <w:tc>
          <w:tcPr>
            <w:tcW w:w="1336"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14</w:t>
            </w:r>
          </w:p>
        </w:tc>
        <w:tc>
          <w:tcPr>
            <w:tcW w:w="152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14.46</w:t>
            </w:r>
          </w:p>
        </w:tc>
        <w:tc>
          <w:tcPr>
            <w:tcW w:w="173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-0.17</w:t>
            </w:r>
          </w:p>
        </w:tc>
        <w:tc>
          <w:tcPr>
            <w:tcW w:w="1379"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339,439.05</w:t>
            </w:r>
          </w:p>
        </w:tc>
        <w:tc>
          <w:tcPr>
            <w:tcW w:w="1003" w:type="dxa"/>
            <w:vAlign w:val="center"/>
          </w:tcPr>
          <w:p w:rsidR="00454BC8" w:rsidRPr="002A2A2D" w:rsidRDefault="00454BC8" w:rsidP="00763D9F">
            <w:pPr>
              <w:spacing w:after="0" w:line="280" w:lineRule="exact"/>
              <w:jc w:val="center"/>
              <w:rPr>
                <w:rFonts w:ascii="Verdana" w:hAnsi="Verdana" w:cs="Verdana"/>
                <w:sz w:val="20"/>
                <w:szCs w:val="20"/>
              </w:rPr>
            </w:pPr>
            <w:r w:rsidRPr="002A2A2D">
              <w:rPr>
                <w:rFonts w:ascii="Verdana" w:hAnsi="Verdana" w:cs="Verdana"/>
                <w:sz w:val="20"/>
                <w:szCs w:val="20"/>
              </w:rPr>
              <w:t>284.08</w:t>
            </w:r>
          </w:p>
        </w:tc>
      </w:tr>
    </w:tbl>
    <w:p w:rsidR="00454BC8" w:rsidRDefault="00454BC8" w:rsidP="00303A34">
      <w:pPr>
        <w:pStyle w:val="Caption"/>
        <w:jc w:val="center"/>
        <w:rPr>
          <w:rFonts w:ascii="Verdana" w:hAnsi="Verdana" w:cs="Verdana"/>
          <w:b w:val="0"/>
          <w:bCs w:val="0"/>
        </w:rPr>
      </w:pPr>
      <w:bookmarkStart w:id="3" w:name="_Ref356636782"/>
      <w:r w:rsidRPr="00303A34">
        <w:rPr>
          <w:rFonts w:ascii="Verdana" w:hAnsi="Verdana" w:cs="Verdana"/>
          <w:b w:val="0"/>
          <w:bCs w:val="0"/>
        </w:rPr>
        <w:t xml:space="preserve">Table </w:t>
      </w:r>
      <w:r w:rsidRPr="00303A34">
        <w:rPr>
          <w:rFonts w:ascii="Verdana" w:hAnsi="Verdana" w:cs="Verdana"/>
          <w:b w:val="0"/>
          <w:bCs w:val="0"/>
        </w:rPr>
        <w:fldChar w:fldCharType="begin"/>
      </w:r>
      <w:r w:rsidRPr="00303A34">
        <w:rPr>
          <w:rFonts w:ascii="Verdana" w:hAnsi="Verdana" w:cs="Verdana"/>
          <w:b w:val="0"/>
          <w:bCs w:val="0"/>
        </w:rPr>
        <w:instrText xml:space="preserve"> SEQ Table \* ARABIC </w:instrText>
      </w:r>
      <w:r w:rsidRPr="00303A34">
        <w:rPr>
          <w:rFonts w:ascii="Verdana" w:hAnsi="Verdana" w:cs="Verdana"/>
          <w:b w:val="0"/>
          <w:bCs w:val="0"/>
        </w:rPr>
        <w:fldChar w:fldCharType="separate"/>
      </w:r>
      <w:r>
        <w:rPr>
          <w:rFonts w:ascii="Verdana" w:hAnsi="Verdana" w:cs="Verdana"/>
          <w:b w:val="0"/>
          <w:bCs w:val="0"/>
          <w:noProof/>
        </w:rPr>
        <w:t>2</w:t>
      </w:r>
      <w:r w:rsidRPr="00303A34">
        <w:rPr>
          <w:rFonts w:ascii="Verdana" w:hAnsi="Verdana" w:cs="Verdana"/>
          <w:b w:val="0"/>
          <w:bCs w:val="0"/>
        </w:rPr>
        <w:fldChar w:fldCharType="end"/>
      </w:r>
      <w:bookmarkEnd w:id="3"/>
      <w:r w:rsidRPr="00303A34">
        <w:rPr>
          <w:rFonts w:ascii="Verdana" w:hAnsi="Verdana" w:cs="Verdana"/>
          <w:b w:val="0"/>
          <w:bCs w:val="0"/>
        </w:rPr>
        <w:t>. Characteristics of the demand process</w:t>
      </w:r>
      <w:r>
        <w:rPr>
          <w:rFonts w:ascii="Verdana" w:hAnsi="Verdana" w:cs="Verdana"/>
          <w:b w:val="0"/>
          <w:bCs w:val="0"/>
        </w:rPr>
        <w:t xml:space="preserve"> &amp; PVD</w:t>
      </w:r>
    </w:p>
    <w:p w:rsidR="00454BC8" w:rsidRDefault="00454BC8" w:rsidP="00587382">
      <w:pPr>
        <w:spacing w:after="0"/>
        <w:jc w:val="both"/>
        <w:rPr>
          <w:rFonts w:ascii="Verdana" w:hAnsi="Verdana" w:cs="Verdana"/>
          <w:sz w:val="20"/>
          <w:szCs w:val="20"/>
        </w:rPr>
      </w:pPr>
    </w:p>
    <w:p w:rsidR="00454BC8" w:rsidRPr="00587382" w:rsidRDefault="00454BC8" w:rsidP="00587382">
      <w:pPr>
        <w:spacing w:after="0"/>
        <w:jc w:val="both"/>
        <w:rPr>
          <w:rFonts w:ascii="Verdana" w:hAnsi="Verdana" w:cs="Verdana"/>
          <w:sz w:val="20"/>
          <w:szCs w:val="20"/>
        </w:rPr>
      </w:pPr>
      <w:r w:rsidRPr="00587382">
        <w:rPr>
          <w:rFonts w:ascii="Verdana" w:hAnsi="Verdana" w:cs="Verdana"/>
          <w:sz w:val="20"/>
          <w:szCs w:val="20"/>
        </w:rPr>
        <w:t>variable workload in the UK warehouse associated with unloading the products</w:t>
      </w:r>
      <w:r>
        <w:rPr>
          <w:rFonts w:ascii="Verdana" w:hAnsi="Verdana" w:cs="Verdana"/>
          <w:sz w:val="20"/>
          <w:szCs w:val="20"/>
        </w:rPr>
        <w:t xml:space="preserve"> &amp;</w:t>
      </w:r>
      <w:r w:rsidRPr="00587382">
        <w:rPr>
          <w:rFonts w:ascii="Verdana" w:hAnsi="Verdana" w:cs="Verdana"/>
          <w:sz w:val="20"/>
          <w:szCs w:val="20"/>
        </w:rPr>
        <w:t xml:space="preserve"> putting it away.</w:t>
      </w:r>
      <w:r>
        <w:rPr>
          <w:rFonts w:ascii="Verdana" w:hAnsi="Verdana" w:cs="Verdana"/>
          <w:sz w:val="20"/>
          <w:szCs w:val="20"/>
        </w:rPr>
        <w:t xml:space="preserve"> </w:t>
      </w:r>
      <w:r w:rsidRPr="00587382">
        <w:rPr>
          <w:rFonts w:ascii="Verdana" w:hAnsi="Verdana" w:cs="Verdana"/>
          <w:sz w:val="20"/>
          <w:szCs w:val="20"/>
        </w:rPr>
        <w:t>There is also a cost associated with the inventory owned in the pipeline.</w:t>
      </w:r>
      <w:r>
        <w:rPr>
          <w:rFonts w:ascii="Verdana" w:hAnsi="Verdana" w:cs="Verdana"/>
          <w:sz w:val="20"/>
          <w:szCs w:val="20"/>
        </w:rPr>
        <w:t xml:space="preserve"> We will now briefly describe how each cost is calculated.</w:t>
      </w:r>
    </w:p>
    <w:p w:rsidR="00454BC8" w:rsidRDefault="00454BC8" w:rsidP="00021306">
      <w:pPr>
        <w:spacing w:after="0"/>
        <w:rPr>
          <w:rFonts w:ascii="Verdana" w:hAnsi="Verdana" w:cs="Verdana"/>
          <w:i/>
          <w:iCs/>
          <w:sz w:val="20"/>
          <w:szCs w:val="20"/>
        </w:rPr>
      </w:pPr>
    </w:p>
    <w:p w:rsidR="00454BC8" w:rsidRPr="00476329" w:rsidRDefault="00476329" w:rsidP="00021306">
      <w:pPr>
        <w:spacing w:after="0"/>
        <w:rPr>
          <w:rFonts w:ascii="Verdana" w:hAnsi="Verdana" w:cs="Verdana"/>
          <w:b/>
          <w:iCs/>
          <w:sz w:val="20"/>
          <w:szCs w:val="20"/>
        </w:rPr>
      </w:pPr>
      <w:r>
        <w:rPr>
          <w:rFonts w:ascii="Verdana" w:hAnsi="Verdana" w:cs="Verdana"/>
          <w:b/>
          <w:iCs/>
          <w:sz w:val="20"/>
          <w:szCs w:val="20"/>
        </w:rPr>
        <w:t>Inventory costs</w:t>
      </w:r>
      <w:r w:rsidR="00454BC8" w:rsidRPr="00476329">
        <w:rPr>
          <w:rFonts w:ascii="Verdana" w:hAnsi="Verdana" w:cs="Verdana"/>
          <w:b/>
          <w:iCs/>
          <w:sz w:val="20"/>
          <w:szCs w:val="20"/>
        </w:rPr>
        <w:t xml:space="preserve"> </w:t>
      </w:r>
    </w:p>
    <w:p w:rsidR="00454BC8" w:rsidRDefault="00454BC8" w:rsidP="00021306">
      <w:pPr>
        <w:spacing w:after="0"/>
        <w:jc w:val="both"/>
        <w:rPr>
          <w:rFonts w:ascii="Verdana" w:hAnsi="Verdana" w:cs="Verdana"/>
          <w:sz w:val="20"/>
          <w:szCs w:val="20"/>
        </w:rPr>
      </w:pPr>
      <w:r w:rsidRPr="00B7137C">
        <w:rPr>
          <w:rFonts w:ascii="Verdana" w:hAnsi="Verdana" w:cs="Verdana"/>
          <w:sz w:val="20"/>
          <w:szCs w:val="20"/>
        </w:rPr>
        <w:t>Inventory costs are driven by the value of the inventory, the interest rate charged, the standard deviation of the inventory levels</w:t>
      </w:r>
      <w:r>
        <w:rPr>
          <w:rFonts w:ascii="Verdana" w:hAnsi="Verdana" w:cs="Verdana"/>
          <w:sz w:val="20"/>
          <w:szCs w:val="20"/>
        </w:rPr>
        <w:t xml:space="preserve"> &amp;</w:t>
      </w:r>
      <w:r w:rsidRPr="00B7137C">
        <w:rPr>
          <w:rFonts w:ascii="Verdana" w:hAnsi="Verdana" w:cs="Verdana"/>
          <w:sz w:val="20"/>
          <w:szCs w:val="20"/>
        </w:rPr>
        <w:t xml:space="preserve"> the service level (availability) required.</w:t>
      </w:r>
      <w:r>
        <w:rPr>
          <w:rFonts w:ascii="Verdana" w:hAnsi="Verdana" w:cs="Verdana"/>
          <w:sz w:val="20"/>
          <w:szCs w:val="20"/>
        </w:rPr>
        <w:t xml:space="preserve"> </w:t>
      </w:r>
      <w:r w:rsidRPr="00B7137C">
        <w:rPr>
          <w:rFonts w:ascii="Verdana" w:hAnsi="Verdana" w:cs="Verdana"/>
          <w:sz w:val="20"/>
          <w:szCs w:val="20"/>
        </w:rPr>
        <w:t xml:space="preserve">We </w:t>
      </w:r>
      <w:r w:rsidRPr="00B7137C">
        <w:rPr>
          <w:rFonts w:ascii="Verdana" w:hAnsi="Verdana" w:cs="Verdana"/>
          <w:sz w:val="20"/>
          <w:szCs w:val="20"/>
        </w:rPr>
        <w:lastRenderedPageBreak/>
        <w:t>will assume that inventory holding</w:t>
      </w:r>
      <w:r>
        <w:rPr>
          <w:rFonts w:ascii="Verdana" w:hAnsi="Verdana" w:cs="Verdana"/>
          <w:sz w:val="20"/>
          <w:szCs w:val="20"/>
        </w:rPr>
        <w:t xml:space="preserve"> &amp;</w:t>
      </w:r>
      <w:r w:rsidRPr="00B7137C">
        <w:rPr>
          <w:rFonts w:ascii="Verdana" w:hAnsi="Verdana" w:cs="Verdana"/>
          <w:sz w:val="20"/>
          <w:szCs w:val="20"/>
        </w:rPr>
        <w:t xml:space="preserve"> shortage costs exist</w:t>
      </w:r>
      <w:r>
        <w:rPr>
          <w:rFonts w:ascii="Verdana" w:hAnsi="Verdana" w:cs="Verdana"/>
          <w:sz w:val="20"/>
          <w:szCs w:val="20"/>
        </w:rPr>
        <w:t xml:space="preserve"> &amp;</w:t>
      </w:r>
      <w:r w:rsidRPr="00B7137C">
        <w:rPr>
          <w:rFonts w:ascii="Verdana" w:hAnsi="Verdana" w:cs="Verdana"/>
          <w:sz w:val="20"/>
          <w:szCs w:val="20"/>
        </w:rPr>
        <w:t xml:space="preserve"> can be described </w:t>
      </w:r>
      <w:r>
        <w:rPr>
          <w:rFonts w:ascii="Verdana" w:hAnsi="Verdana" w:cs="Verdana"/>
          <w:sz w:val="20"/>
          <w:szCs w:val="20"/>
        </w:rPr>
        <w:t xml:space="preserve">in the time domain </w:t>
      </w:r>
      <w:r w:rsidRPr="00B7137C">
        <w:rPr>
          <w:rFonts w:ascii="Verdana" w:hAnsi="Verdana" w:cs="Verdana"/>
          <w:sz w:val="20"/>
          <w:szCs w:val="20"/>
        </w:rPr>
        <w:t>by</w:t>
      </w:r>
    </w:p>
    <w:tbl>
      <w:tblPr>
        <w:tblW w:w="0" w:type="auto"/>
        <w:tblLook w:val="00A0" w:firstRow="1" w:lastRow="0" w:firstColumn="1" w:lastColumn="0" w:noHBand="0" w:noVBand="0"/>
      </w:tblPr>
      <w:tblGrid>
        <w:gridCol w:w="8188"/>
        <w:gridCol w:w="1054"/>
      </w:tblGrid>
      <w:tr w:rsidR="00454BC8" w:rsidRPr="002A2A2D">
        <w:tc>
          <w:tcPr>
            <w:tcW w:w="8188" w:type="dxa"/>
          </w:tcPr>
          <w:p w:rsidR="00454BC8" w:rsidRPr="002A2A2D" w:rsidRDefault="00454BC8" w:rsidP="002A2A2D">
            <w:pPr>
              <w:spacing w:after="0" w:line="240" w:lineRule="auto"/>
              <w:jc w:val="both"/>
              <w:rPr>
                <w:rFonts w:ascii="Verdana" w:hAnsi="Verdana" w:cs="Verdana"/>
                <w:sz w:val="20"/>
                <w:szCs w:val="20"/>
              </w:rPr>
            </w:pPr>
            <w:r w:rsidRPr="00DE5456">
              <w:rPr>
                <w:rFonts w:ascii="Verdana" w:eastAsia="Times New Roman" w:hAnsi="Verdana" w:cs="Times New Roman"/>
                <w:position w:val="-14"/>
              </w:rPr>
              <w:object w:dxaOrig="4680" w:dyaOrig="440">
                <v:shape id="_x0000_i1038" type="#_x0000_t75" style="width:228.75pt;height:21pt" o:ole="">
                  <v:imagedata r:id="rId30" o:title=""/>
                </v:shape>
                <o:OLEObject Type="Embed" ProgID="Equation.DSMT4" ShapeID="_x0000_i1038" DrawAspect="Content" ObjectID="_1430551567" r:id="rId31"/>
              </w:object>
            </w:r>
            <w:r w:rsidRPr="00763D9F">
              <w:rPr>
                <w:rFonts w:ascii="Verdana" w:hAnsi="Verdana" w:cs="Verdana"/>
              </w:rPr>
              <w:t>.</w:t>
            </w:r>
          </w:p>
        </w:tc>
        <w:tc>
          <w:tcPr>
            <w:tcW w:w="1054" w:type="dxa"/>
            <w:vAlign w:val="center"/>
          </w:tcPr>
          <w:p w:rsidR="00454BC8" w:rsidRPr="002A2A2D" w:rsidRDefault="00454BC8" w:rsidP="00DE5456">
            <w:pPr>
              <w:spacing w:after="0" w:line="240" w:lineRule="auto"/>
              <w:jc w:val="right"/>
              <w:rPr>
                <w:rFonts w:ascii="Verdana" w:hAnsi="Verdana" w:cs="Verdana"/>
                <w:sz w:val="20"/>
                <w:szCs w:val="20"/>
              </w:rPr>
            </w:pPr>
            <w:r>
              <w:rPr>
                <w:rFonts w:ascii="Verdana" w:hAnsi="Verdana" w:cs="Verdana"/>
                <w:sz w:val="20"/>
                <w:szCs w:val="20"/>
              </w:rPr>
              <w:fldChar w:fldCharType="begin"/>
            </w:r>
            <w:r>
              <w:rPr>
                <w:rFonts w:ascii="Verdana" w:hAnsi="Verdana" w:cs="Verdana"/>
                <w:sz w:val="20"/>
                <w:szCs w:val="20"/>
              </w:rPr>
              <w:instrText xml:space="preserve"> MACROBUTTON MTPlaceRef \* MERGEFORMAT </w:instrText>
            </w:r>
            <w:r>
              <w:rPr>
                <w:rFonts w:ascii="Verdana" w:hAnsi="Verdana" w:cs="Verdana"/>
                <w:sz w:val="20"/>
                <w:szCs w:val="20"/>
              </w:rPr>
              <w:fldChar w:fldCharType="begin"/>
            </w:r>
            <w:r>
              <w:rPr>
                <w:rFonts w:ascii="Verdana" w:hAnsi="Verdana" w:cs="Verdana"/>
                <w:sz w:val="20"/>
                <w:szCs w:val="20"/>
              </w:rPr>
              <w:instrText xml:space="preserve"> SEQ MTEqn \h \* MERGEFORMAT </w:instrText>
            </w:r>
            <w:r>
              <w:rPr>
                <w:rFonts w:ascii="Verdana" w:hAnsi="Verdana" w:cs="Verdana"/>
                <w:sz w:val="20"/>
                <w:szCs w:val="20"/>
              </w:rPr>
              <w:fldChar w:fldCharType="end"/>
            </w:r>
            <w:r>
              <w:rPr>
                <w:rFonts w:ascii="Verdana" w:hAnsi="Verdana" w:cs="Verdana"/>
                <w:sz w:val="20"/>
                <w:szCs w:val="20"/>
              </w:rPr>
              <w:instrText>(</w:instrText>
            </w:r>
            <w:fldSimple w:instr=" SEQ MTEqn \c \* Arabic \* MERGEFORMAT ">
              <w:r w:rsidRPr="008F1B5F">
                <w:rPr>
                  <w:rFonts w:ascii="Verdana" w:hAnsi="Verdana" w:cs="Verdana"/>
                  <w:noProof/>
                  <w:sz w:val="20"/>
                  <w:szCs w:val="20"/>
                </w:rPr>
                <w:instrText>5</w:instrText>
              </w:r>
            </w:fldSimple>
            <w:r>
              <w:rPr>
                <w:rFonts w:ascii="Verdana" w:hAnsi="Verdana" w:cs="Verdana"/>
                <w:sz w:val="20"/>
                <w:szCs w:val="20"/>
              </w:rPr>
              <w:instrText>)</w:instrText>
            </w:r>
            <w:r>
              <w:rPr>
                <w:rFonts w:ascii="Verdana" w:hAnsi="Verdana" w:cs="Verdana"/>
                <w:sz w:val="20"/>
                <w:szCs w:val="20"/>
              </w:rPr>
              <w:fldChar w:fldCharType="end"/>
            </w:r>
          </w:p>
        </w:tc>
      </w:tr>
    </w:tbl>
    <w:p w:rsidR="00454BC8" w:rsidRPr="00B7137C" w:rsidRDefault="00454BC8" w:rsidP="000E107A">
      <w:pPr>
        <w:spacing w:after="0" w:line="260" w:lineRule="exact"/>
        <w:jc w:val="both"/>
        <w:rPr>
          <w:rFonts w:ascii="Verdana" w:hAnsi="Verdana" w:cs="Verdana"/>
          <w:sz w:val="20"/>
          <w:szCs w:val="20"/>
        </w:rPr>
      </w:pPr>
      <w:r w:rsidRPr="00B7137C">
        <w:rPr>
          <w:rFonts w:ascii="Verdana" w:hAnsi="Verdana" w:cs="Verdana"/>
          <w:sz w:val="20"/>
          <w:szCs w:val="20"/>
        </w:rPr>
        <w:t xml:space="preserve">Here </w:t>
      </w:r>
      <w:r w:rsidRPr="00B7137C">
        <w:rPr>
          <w:rFonts w:ascii="Verdana" w:hAnsi="Verdana" w:cs="Verdana"/>
          <w:i/>
          <w:iCs/>
          <w:sz w:val="20"/>
          <w:szCs w:val="20"/>
        </w:rPr>
        <w:t>ns</w:t>
      </w:r>
      <w:r w:rsidRPr="00B7137C">
        <w:rPr>
          <w:rFonts w:ascii="Verdana" w:hAnsi="Verdana" w:cs="Verdana"/>
          <w:sz w:val="20"/>
          <w:szCs w:val="20"/>
        </w:rPr>
        <w:t xml:space="preserve"> is the net stock at the </w:t>
      </w:r>
      <w:r>
        <w:rPr>
          <w:rFonts w:ascii="Verdana" w:hAnsi="Verdana" w:cs="Verdana"/>
          <w:sz w:val="20"/>
          <w:szCs w:val="20"/>
        </w:rPr>
        <w:t>UK</w:t>
      </w:r>
      <w:r w:rsidRPr="00B7137C">
        <w:rPr>
          <w:rFonts w:ascii="Verdana" w:hAnsi="Verdana" w:cs="Verdana"/>
          <w:sz w:val="20"/>
          <w:szCs w:val="20"/>
        </w:rPr>
        <w:t xml:space="preserve"> warehouse at time</w:t>
      </w:r>
      <w:r w:rsidRPr="00B7137C">
        <w:rPr>
          <w:rFonts w:ascii="Verdana" w:hAnsi="Verdana" w:cs="Verdana"/>
          <w:i/>
          <w:iCs/>
          <w:sz w:val="20"/>
          <w:szCs w:val="20"/>
        </w:rPr>
        <w:t xml:space="preserve"> t</w:t>
      </w:r>
      <w:r w:rsidRPr="00B7137C">
        <w:rPr>
          <w:rFonts w:ascii="Verdana" w:hAnsi="Verdana" w:cs="Verdana"/>
          <w:sz w:val="20"/>
          <w:szCs w:val="20"/>
        </w:rPr>
        <w:t>.</w:t>
      </w:r>
      <w:r>
        <w:rPr>
          <w:rFonts w:ascii="Verdana" w:hAnsi="Verdana" w:cs="Verdana"/>
          <w:sz w:val="20"/>
          <w:szCs w:val="20"/>
        </w:rPr>
        <w:t xml:space="preserve"> </w:t>
      </w:r>
      <w:r w:rsidRPr="00DE5456">
        <w:rPr>
          <w:rFonts w:ascii="Verdana" w:hAnsi="Verdana" w:cs="Verdana"/>
          <w:position w:val="-14"/>
          <w:sz w:val="20"/>
          <w:szCs w:val="20"/>
        </w:rPr>
        <w:object w:dxaOrig="440" w:dyaOrig="440">
          <v:shape id="_x0000_i1039" type="#_x0000_t75" style="width:21pt;height:21pt" o:ole="">
            <v:imagedata r:id="rId32" o:title=""/>
          </v:shape>
          <o:OLEObject Type="Embed" ProgID="Equation.DSMT4" ShapeID="_x0000_i1039" DrawAspect="Content" ObjectID="_1430551568" r:id="rId33"/>
        </w:object>
      </w:r>
      <w:r>
        <w:rPr>
          <w:rFonts w:ascii="Verdana" w:hAnsi="Verdana" w:cs="Verdana"/>
          <w:sz w:val="20"/>
          <w:szCs w:val="20"/>
        </w:rPr>
        <w:t xml:space="preserve"> is the maximum operator, that is, </w:t>
      </w:r>
      <w:r w:rsidRPr="00DE5456">
        <w:rPr>
          <w:rFonts w:ascii="Verdana" w:hAnsi="Verdana" w:cs="Verdana"/>
          <w:position w:val="-14"/>
          <w:sz w:val="20"/>
          <w:szCs w:val="20"/>
        </w:rPr>
        <w:object w:dxaOrig="820" w:dyaOrig="440">
          <v:shape id="_x0000_i1040" type="#_x0000_t75" style="width:41.25pt;height:21pt" o:ole="">
            <v:imagedata r:id="rId34" o:title=""/>
          </v:shape>
          <o:OLEObject Type="Embed" ProgID="Equation.DSMT4" ShapeID="_x0000_i1040" DrawAspect="Content" ObjectID="_1430551569" r:id="rId35"/>
        </w:object>
      </w:r>
      <w:r>
        <w:rPr>
          <w:rFonts w:ascii="Verdana" w:hAnsi="Verdana" w:cs="Verdana"/>
          <w:sz w:val="20"/>
          <w:szCs w:val="20"/>
        </w:rPr>
        <w:t xml:space="preserve"> </w:t>
      </w:r>
      <w:proofErr w:type="gramStart"/>
      <w:r>
        <w:rPr>
          <w:rFonts w:ascii="Verdana" w:hAnsi="Verdana" w:cs="Verdana"/>
          <w:sz w:val="20"/>
          <w:szCs w:val="20"/>
        </w:rPr>
        <w:t xml:space="preserve">if </w:t>
      </w:r>
      <w:proofErr w:type="gramEnd"/>
      <w:r w:rsidRPr="00DE5456">
        <w:rPr>
          <w:rFonts w:ascii="Verdana" w:hAnsi="Verdana" w:cs="Verdana"/>
          <w:position w:val="-6"/>
          <w:sz w:val="20"/>
          <w:szCs w:val="20"/>
        </w:rPr>
        <w:object w:dxaOrig="560" w:dyaOrig="279">
          <v:shape id="_x0000_i1041" type="#_x0000_t75" style="width:27.75pt;height:15pt" o:ole="">
            <v:imagedata r:id="rId36" o:title=""/>
          </v:shape>
          <o:OLEObject Type="Embed" ProgID="Equation.DSMT4" ShapeID="_x0000_i1041" DrawAspect="Content" ObjectID="_1430551570" r:id="rId37"/>
        </w:object>
      </w:r>
      <w:r>
        <w:rPr>
          <w:rFonts w:ascii="Verdana" w:hAnsi="Verdana" w:cs="Verdana"/>
          <w:sz w:val="20"/>
          <w:szCs w:val="20"/>
        </w:rPr>
        <w:t xml:space="preserve">, otherwise </w:t>
      </w:r>
      <w:r w:rsidRPr="00DE5456">
        <w:rPr>
          <w:rFonts w:ascii="Verdana" w:hAnsi="Verdana" w:cs="Verdana"/>
          <w:position w:val="-14"/>
          <w:sz w:val="20"/>
          <w:szCs w:val="20"/>
        </w:rPr>
        <w:object w:dxaOrig="820" w:dyaOrig="440">
          <v:shape id="_x0000_i1042" type="#_x0000_t75" style="width:41.25pt;height:21pt" o:ole="">
            <v:imagedata r:id="rId38" o:title=""/>
          </v:shape>
          <o:OLEObject Type="Embed" ProgID="Equation.DSMT4" ShapeID="_x0000_i1042" DrawAspect="Content" ObjectID="_1430551571" r:id="rId39"/>
        </w:object>
      </w:r>
      <w:r>
        <w:rPr>
          <w:rFonts w:ascii="Verdana" w:hAnsi="Verdana" w:cs="Verdana"/>
          <w:sz w:val="20"/>
          <w:szCs w:val="20"/>
        </w:rPr>
        <w:t>.</w:t>
      </w:r>
      <w:r w:rsidRPr="00B7137C">
        <w:rPr>
          <w:rFonts w:ascii="Verdana" w:hAnsi="Verdana" w:cs="Verdana"/>
          <w:sz w:val="20"/>
          <w:szCs w:val="20"/>
        </w:rPr>
        <w:t xml:space="preserve"> </w:t>
      </w:r>
      <w:r w:rsidRPr="00B7137C">
        <w:rPr>
          <w:rFonts w:ascii="Verdana" w:hAnsi="Verdana" w:cs="Verdana"/>
          <w:i/>
          <w:iCs/>
          <w:sz w:val="20"/>
          <w:szCs w:val="20"/>
        </w:rPr>
        <w:t>H</w:t>
      </w:r>
      <w:r w:rsidRPr="00B7137C">
        <w:rPr>
          <w:rFonts w:ascii="Verdana" w:hAnsi="Verdana" w:cs="Verdana"/>
          <w:sz w:val="20"/>
          <w:szCs w:val="20"/>
        </w:rPr>
        <w:t xml:space="preserve"> is a holding cost per </w:t>
      </w:r>
      <w:r>
        <w:rPr>
          <w:rFonts w:ascii="Verdana" w:hAnsi="Verdana" w:cs="Verdana"/>
          <w:sz w:val="20"/>
          <w:szCs w:val="20"/>
        </w:rPr>
        <w:t>unit</w:t>
      </w:r>
      <w:r w:rsidRPr="00B7137C">
        <w:rPr>
          <w:rFonts w:ascii="Verdana" w:hAnsi="Verdana" w:cs="Verdana"/>
          <w:sz w:val="20"/>
          <w:szCs w:val="20"/>
        </w:rPr>
        <w:t xml:space="preserve"> per week</w:t>
      </w:r>
      <w:r>
        <w:rPr>
          <w:rFonts w:ascii="Verdana" w:hAnsi="Verdana" w:cs="Verdana"/>
          <w:sz w:val="20"/>
          <w:szCs w:val="20"/>
        </w:rPr>
        <w:t xml:space="preserve"> &amp;</w:t>
      </w:r>
      <w:r w:rsidRPr="00B7137C">
        <w:rPr>
          <w:rFonts w:ascii="Verdana" w:hAnsi="Verdana" w:cs="Verdana"/>
          <w:sz w:val="20"/>
          <w:szCs w:val="20"/>
        </w:rPr>
        <w:t xml:space="preserve"> </w:t>
      </w:r>
      <w:r w:rsidRPr="00B7137C">
        <w:rPr>
          <w:rFonts w:ascii="Verdana" w:hAnsi="Verdana" w:cs="Verdana"/>
          <w:i/>
          <w:iCs/>
          <w:sz w:val="20"/>
          <w:szCs w:val="20"/>
        </w:rPr>
        <w:t>B</w:t>
      </w:r>
      <w:r w:rsidRPr="00B7137C">
        <w:rPr>
          <w:rFonts w:ascii="Verdana" w:hAnsi="Verdana" w:cs="Verdana"/>
          <w:sz w:val="20"/>
          <w:szCs w:val="20"/>
        </w:rPr>
        <w:t xml:space="preserve"> is a backlog cost per </w:t>
      </w:r>
      <w:r>
        <w:rPr>
          <w:rFonts w:ascii="Verdana" w:hAnsi="Verdana" w:cs="Verdana"/>
          <w:sz w:val="20"/>
          <w:szCs w:val="20"/>
        </w:rPr>
        <w:t>unit</w:t>
      </w:r>
      <w:r w:rsidRPr="00B7137C">
        <w:rPr>
          <w:rFonts w:ascii="Verdana" w:hAnsi="Verdana" w:cs="Verdana"/>
          <w:sz w:val="20"/>
          <w:szCs w:val="20"/>
        </w:rPr>
        <w:t xml:space="preserve"> per week.</w:t>
      </w:r>
      <w:r>
        <w:rPr>
          <w:rFonts w:ascii="Verdana" w:hAnsi="Verdana" w:cs="Verdana"/>
          <w:sz w:val="20"/>
          <w:szCs w:val="20"/>
        </w:rPr>
        <w:t xml:space="preserve"> </w:t>
      </w:r>
      <w:r w:rsidRPr="00B7137C">
        <w:rPr>
          <w:rFonts w:ascii="Verdana" w:hAnsi="Verdana" w:cs="Verdana"/>
          <w:sz w:val="20"/>
          <w:szCs w:val="20"/>
        </w:rPr>
        <w:t>The inventory holding cost is set to be equal to the unit cost plus freight charges, pipeline inventory costs,</w:t>
      </w:r>
      <w:r>
        <w:rPr>
          <w:rFonts w:ascii="Verdana" w:hAnsi="Verdana" w:cs="Verdana"/>
          <w:sz w:val="20"/>
          <w:szCs w:val="20"/>
        </w:rPr>
        <w:t xml:space="preserve"> &amp;</w:t>
      </w:r>
      <w:r w:rsidRPr="00B7137C">
        <w:rPr>
          <w:rFonts w:ascii="Verdana" w:hAnsi="Verdana" w:cs="Verdana"/>
          <w:sz w:val="20"/>
          <w:szCs w:val="20"/>
        </w:rPr>
        <w:t xml:space="preserve"> unloading costs, all multiplied by the weekly interest rate, 0.5%.</w:t>
      </w:r>
      <w:r>
        <w:rPr>
          <w:rFonts w:ascii="Verdana" w:hAnsi="Verdana" w:cs="Verdana"/>
          <w:sz w:val="20"/>
          <w:szCs w:val="20"/>
        </w:rPr>
        <w:t xml:space="preserve"> </w:t>
      </w:r>
      <w:r w:rsidRPr="00B7137C">
        <w:rPr>
          <w:rFonts w:ascii="Verdana" w:hAnsi="Verdana" w:cs="Verdana"/>
          <w:sz w:val="20"/>
          <w:szCs w:val="20"/>
        </w:rPr>
        <w:t>The backlog cost is set to ensure the 95% of weeks end in a positive inventory (to meet the</w:t>
      </w:r>
      <w:r>
        <w:rPr>
          <w:rFonts w:ascii="Verdana" w:hAnsi="Verdana" w:cs="Verdana"/>
          <w:sz w:val="20"/>
          <w:szCs w:val="20"/>
        </w:rPr>
        <w:t xml:space="preserve"> target</w:t>
      </w:r>
      <w:r w:rsidRPr="00B7137C">
        <w:rPr>
          <w:rFonts w:ascii="Verdana" w:hAnsi="Verdana" w:cs="Verdana"/>
          <w:sz w:val="20"/>
          <w:szCs w:val="20"/>
        </w:rPr>
        <w:t xml:space="preserve"> </w:t>
      </w:r>
      <w:r>
        <w:rPr>
          <w:rFonts w:ascii="Verdana" w:hAnsi="Verdana" w:cs="Verdana"/>
          <w:sz w:val="20"/>
          <w:szCs w:val="20"/>
        </w:rPr>
        <w:t>inventory availability</w:t>
      </w:r>
      <w:r w:rsidRPr="00B7137C">
        <w:rPr>
          <w:rFonts w:ascii="Verdana" w:hAnsi="Verdana" w:cs="Verdana"/>
          <w:sz w:val="20"/>
          <w:szCs w:val="20"/>
        </w:rPr>
        <w:t xml:space="preserve"> target).</w:t>
      </w:r>
      <w:r>
        <w:rPr>
          <w:rFonts w:ascii="Verdana" w:hAnsi="Verdana" w:cs="Verdana"/>
          <w:sz w:val="20"/>
          <w:szCs w:val="20"/>
        </w:rPr>
        <w:t xml:space="preserve"> </w:t>
      </w:r>
    </w:p>
    <w:p w:rsidR="00454BC8" w:rsidRDefault="00454BC8" w:rsidP="00021306">
      <w:pPr>
        <w:spacing w:after="0"/>
        <w:jc w:val="both"/>
        <w:rPr>
          <w:rFonts w:ascii="Verdana" w:hAnsi="Verdana" w:cs="Verdana"/>
          <w:sz w:val="20"/>
          <w:szCs w:val="20"/>
        </w:rPr>
      </w:pPr>
    </w:p>
    <w:p w:rsidR="00454BC8" w:rsidRDefault="00454BC8" w:rsidP="00021306">
      <w:pPr>
        <w:spacing w:after="0"/>
        <w:jc w:val="both"/>
        <w:rPr>
          <w:rFonts w:ascii="Verdana" w:hAnsi="Verdana" w:cs="Verdana"/>
          <w:sz w:val="20"/>
          <w:szCs w:val="20"/>
        </w:rPr>
      </w:pPr>
      <w:r>
        <w:rPr>
          <w:rFonts w:ascii="Verdana" w:hAnsi="Verdana" w:cs="Verdana"/>
          <w:sz w:val="20"/>
          <w:szCs w:val="20"/>
        </w:rPr>
        <w:t xml:space="preserve">Both companies offer products for immediate collection &amp; delivery. They both target 95% inventory availability. The cost of holding an item in inventory for one week, </w:t>
      </w:r>
      <w:r w:rsidRPr="00021306">
        <w:rPr>
          <w:rFonts w:ascii="Verdana" w:hAnsi="Verdana" w:cs="Verdana"/>
          <w:i/>
          <w:iCs/>
          <w:sz w:val="20"/>
          <w:szCs w:val="20"/>
        </w:rPr>
        <w:t>H</w:t>
      </w:r>
      <w:r>
        <w:rPr>
          <w:rFonts w:ascii="Verdana" w:hAnsi="Verdana" w:cs="Verdana"/>
          <w:sz w:val="20"/>
          <w:szCs w:val="20"/>
        </w:rPr>
        <w:t xml:space="preserve">, can be obtained by multiplying the product’s cost by the cost of capital (0.5% per week). The backlog costs are obtained using </w:t>
      </w:r>
      <w:r>
        <w:rPr>
          <w:rFonts w:ascii="Verdana" w:hAnsi="Verdana" w:cs="Verdana"/>
          <w:sz w:val="20"/>
          <w:szCs w:val="20"/>
        </w:rPr>
        <w:fldChar w:fldCharType="begin"/>
      </w:r>
      <w:r>
        <w:rPr>
          <w:rFonts w:ascii="Verdana" w:hAnsi="Verdana" w:cs="Verdana"/>
          <w:sz w:val="20"/>
          <w:szCs w:val="20"/>
        </w:rPr>
        <w:instrText xml:space="preserve"> GOTOBUTTON ZEqnNum786075  \* MERGEFORMAT </w:instrText>
      </w:r>
      <w:r>
        <w:rPr>
          <w:rFonts w:ascii="Verdana" w:hAnsi="Verdana" w:cs="Verdana"/>
          <w:sz w:val="20"/>
          <w:szCs w:val="20"/>
        </w:rPr>
        <w:fldChar w:fldCharType="begin"/>
      </w:r>
      <w:r>
        <w:rPr>
          <w:rFonts w:ascii="Verdana" w:hAnsi="Verdana" w:cs="Verdana"/>
          <w:sz w:val="20"/>
          <w:szCs w:val="20"/>
        </w:rPr>
        <w:instrText xml:space="preserve"> REF ZEqnNum786075 \* Charformat \! \* MERGEFORMAT </w:instrText>
      </w:r>
      <w:r>
        <w:rPr>
          <w:rFonts w:ascii="Verdana" w:hAnsi="Verdana" w:cs="Verdana"/>
          <w:sz w:val="20"/>
          <w:szCs w:val="20"/>
        </w:rPr>
        <w:fldChar w:fldCharType="separate"/>
      </w:r>
      <w:r>
        <w:rPr>
          <w:rFonts w:ascii="Verdana" w:hAnsi="Verdana" w:cs="Verdana"/>
          <w:sz w:val="20"/>
          <w:szCs w:val="20"/>
        </w:rPr>
        <w:instrText>(</w:instrText>
      </w:r>
      <w:r w:rsidRPr="009619E6">
        <w:rPr>
          <w:rFonts w:ascii="Verdana" w:hAnsi="Verdana" w:cs="Verdana"/>
          <w:sz w:val="20"/>
          <w:szCs w:val="20"/>
        </w:rPr>
        <w:instrText>6</w:instrText>
      </w:r>
      <w:r>
        <w:rPr>
          <w:rFonts w:ascii="Verdana" w:hAnsi="Verdana" w:cs="Verdana"/>
          <w:sz w:val="20"/>
          <w:szCs w:val="20"/>
        </w:rPr>
        <w:instrText>)</w:instrText>
      </w:r>
      <w:r>
        <w:rPr>
          <w:rFonts w:ascii="Verdana" w:hAnsi="Verdana" w:cs="Verdana"/>
          <w:sz w:val="20"/>
          <w:szCs w:val="20"/>
        </w:rPr>
        <w:fldChar w:fldCharType="end"/>
      </w:r>
      <w:r>
        <w:rPr>
          <w:rFonts w:ascii="Verdana" w:hAnsi="Verdana" w:cs="Verdana"/>
          <w:sz w:val="20"/>
          <w:szCs w:val="20"/>
        </w:rPr>
        <w:fldChar w:fldCharType="end"/>
      </w:r>
      <w:r>
        <w:rPr>
          <w:rFonts w:ascii="Verdana" w:hAnsi="Verdana" w:cs="Verdana"/>
          <w:sz w:val="20"/>
          <w:szCs w:val="20"/>
        </w:rPr>
        <w:t xml:space="preserve"> that ensures that 95% availability also minimises the expected per period inventory cost,</w:t>
      </w:r>
    </w:p>
    <w:tbl>
      <w:tblPr>
        <w:tblW w:w="0" w:type="auto"/>
        <w:tblLook w:val="00A0" w:firstRow="1" w:lastRow="0" w:firstColumn="1" w:lastColumn="0" w:noHBand="0" w:noVBand="0"/>
      </w:tblPr>
      <w:tblGrid>
        <w:gridCol w:w="8188"/>
        <w:gridCol w:w="1054"/>
      </w:tblGrid>
      <w:tr w:rsidR="00454BC8" w:rsidRPr="002A2A2D">
        <w:tc>
          <w:tcPr>
            <w:tcW w:w="8188" w:type="dxa"/>
          </w:tcPr>
          <w:p w:rsidR="00454BC8" w:rsidRPr="002A2A2D" w:rsidRDefault="00454BC8" w:rsidP="002A2A2D">
            <w:pPr>
              <w:spacing w:after="0" w:line="240" w:lineRule="auto"/>
              <w:jc w:val="both"/>
              <w:rPr>
                <w:rFonts w:ascii="Verdana" w:hAnsi="Verdana" w:cs="Verdana"/>
                <w:sz w:val="20"/>
                <w:szCs w:val="20"/>
              </w:rPr>
            </w:pPr>
            <w:r w:rsidRPr="002A2A2D">
              <w:rPr>
                <w:rFonts w:ascii="Verdana" w:eastAsia="Times New Roman" w:hAnsi="Verdana" w:cs="Times New Roman"/>
                <w:position w:val="-24"/>
                <w:sz w:val="20"/>
                <w:szCs w:val="20"/>
              </w:rPr>
              <w:object w:dxaOrig="1320" w:dyaOrig="620">
                <v:shape id="_x0000_i1043" type="#_x0000_t75" style="width:63.75pt;height:30.75pt" o:ole="">
                  <v:imagedata r:id="rId40" o:title=""/>
                </v:shape>
                <o:OLEObject Type="Embed" ProgID="Equation.DSMT4" ShapeID="_x0000_i1043" DrawAspect="Content" ObjectID="_1430551572" r:id="rId41"/>
              </w:object>
            </w:r>
            <w:r>
              <w:rPr>
                <w:rFonts w:ascii="Verdana" w:eastAsia="Times New Roman" w:hAnsi="Verdana" w:cs="Verdana"/>
                <w:sz w:val="20"/>
                <w:szCs w:val="20"/>
              </w:rPr>
              <w:t>.</w:t>
            </w:r>
          </w:p>
        </w:tc>
        <w:tc>
          <w:tcPr>
            <w:tcW w:w="1054" w:type="dxa"/>
            <w:vAlign w:val="center"/>
          </w:tcPr>
          <w:p w:rsidR="00454BC8" w:rsidRPr="002A2A2D" w:rsidRDefault="00454BC8" w:rsidP="000E107A">
            <w:pPr>
              <w:spacing w:after="0" w:line="240" w:lineRule="auto"/>
              <w:jc w:val="right"/>
              <w:rPr>
                <w:rFonts w:ascii="Verdana" w:hAnsi="Verdana" w:cs="Verdana"/>
                <w:sz w:val="20"/>
                <w:szCs w:val="20"/>
              </w:rPr>
            </w:pPr>
            <w:r>
              <w:rPr>
                <w:rFonts w:ascii="Verdana" w:hAnsi="Verdana" w:cs="Verdana"/>
                <w:sz w:val="20"/>
                <w:szCs w:val="20"/>
              </w:rPr>
              <w:fldChar w:fldCharType="begin"/>
            </w:r>
            <w:r>
              <w:rPr>
                <w:rFonts w:ascii="Verdana" w:hAnsi="Verdana" w:cs="Verdana"/>
                <w:sz w:val="20"/>
                <w:szCs w:val="20"/>
              </w:rPr>
              <w:instrText xml:space="preserve"> MACROBUTTON MTPlaceRef \* MERGEFORMAT </w:instrText>
            </w:r>
            <w:r>
              <w:rPr>
                <w:rFonts w:ascii="Verdana" w:hAnsi="Verdana" w:cs="Verdana"/>
                <w:sz w:val="20"/>
                <w:szCs w:val="20"/>
              </w:rPr>
              <w:fldChar w:fldCharType="begin"/>
            </w:r>
            <w:r>
              <w:rPr>
                <w:rFonts w:ascii="Verdana" w:hAnsi="Verdana" w:cs="Verdana"/>
                <w:sz w:val="20"/>
                <w:szCs w:val="20"/>
              </w:rPr>
              <w:instrText xml:space="preserve"> SEQ MTEqn \h \* MERGEFORMAT </w:instrText>
            </w:r>
            <w:r>
              <w:rPr>
                <w:rFonts w:ascii="Verdana" w:hAnsi="Verdana" w:cs="Verdana"/>
                <w:sz w:val="20"/>
                <w:szCs w:val="20"/>
              </w:rPr>
              <w:fldChar w:fldCharType="end"/>
            </w:r>
            <w:bookmarkStart w:id="4" w:name="ZEqnNum786075"/>
            <w:r>
              <w:rPr>
                <w:rFonts w:ascii="Verdana" w:hAnsi="Verdana" w:cs="Verdana"/>
                <w:sz w:val="20"/>
                <w:szCs w:val="20"/>
              </w:rPr>
              <w:instrText>(</w:instrText>
            </w:r>
            <w:fldSimple w:instr=" SEQ MTEqn \c \* Arabic \* MERGEFORMAT ">
              <w:r w:rsidRPr="008F1B5F">
                <w:rPr>
                  <w:rFonts w:ascii="Verdana" w:hAnsi="Verdana" w:cs="Verdana"/>
                  <w:noProof/>
                  <w:sz w:val="20"/>
                  <w:szCs w:val="20"/>
                </w:rPr>
                <w:instrText>6</w:instrText>
              </w:r>
            </w:fldSimple>
            <w:r>
              <w:rPr>
                <w:rFonts w:ascii="Verdana" w:hAnsi="Verdana" w:cs="Verdana"/>
                <w:sz w:val="20"/>
                <w:szCs w:val="20"/>
              </w:rPr>
              <w:instrText>)</w:instrText>
            </w:r>
            <w:bookmarkEnd w:id="4"/>
            <w:r>
              <w:rPr>
                <w:rFonts w:ascii="Verdana" w:hAnsi="Verdana" w:cs="Verdana"/>
                <w:sz w:val="20"/>
                <w:szCs w:val="20"/>
              </w:rPr>
              <w:fldChar w:fldCharType="end"/>
            </w:r>
          </w:p>
        </w:tc>
      </w:tr>
    </w:tbl>
    <w:p w:rsidR="00454BC8" w:rsidRDefault="00454BC8" w:rsidP="00021306">
      <w:pPr>
        <w:spacing w:line="280" w:lineRule="exact"/>
        <w:jc w:val="both"/>
        <w:rPr>
          <w:rFonts w:ascii="Verdana" w:hAnsi="Verdana" w:cs="Verdana"/>
          <w:sz w:val="20"/>
          <w:szCs w:val="20"/>
        </w:rPr>
      </w:pPr>
      <w:r>
        <w:rPr>
          <w:rFonts w:ascii="Verdana" w:hAnsi="Verdana" w:cs="Verdana"/>
          <w:sz w:val="20"/>
          <w:szCs w:val="20"/>
        </w:rPr>
        <w:t>In order to ensure the sum of the expected inventory holding &amp; backlog costs is minimised then the Target Net Stock (</w:t>
      </w:r>
      <w:r w:rsidRPr="00AE6F6C">
        <w:rPr>
          <w:rFonts w:ascii="Verdana" w:hAnsi="Verdana" w:cs="Verdana"/>
          <w:i/>
          <w:iCs/>
          <w:sz w:val="20"/>
          <w:szCs w:val="20"/>
        </w:rPr>
        <w:t>TNS*</w:t>
      </w:r>
      <w:r>
        <w:rPr>
          <w:rFonts w:ascii="Verdana" w:hAnsi="Verdana" w:cs="Verdana"/>
          <w:sz w:val="20"/>
          <w:szCs w:val="20"/>
        </w:rPr>
        <w:t xml:space="preserve">), the safety stock at the UK warehouse, needs to be set </w:t>
      </w:r>
      <w:proofErr w:type="gramStart"/>
      <w:r>
        <w:rPr>
          <w:rFonts w:ascii="Verdana" w:hAnsi="Verdana" w:cs="Verdana"/>
          <w:sz w:val="20"/>
          <w:szCs w:val="20"/>
        </w:rPr>
        <w:t xml:space="preserve">to </w:t>
      </w:r>
      <w:proofErr w:type="gramEnd"/>
      <w:r>
        <w:rPr>
          <w:rFonts w:ascii="Verdana" w:hAnsi="Verdana" w:cs="Verdana"/>
          <w:sz w:val="20"/>
          <w:szCs w:val="20"/>
        </w:rPr>
        <w:fldChar w:fldCharType="begin"/>
      </w:r>
      <w:r>
        <w:rPr>
          <w:rFonts w:ascii="Verdana" w:hAnsi="Verdana" w:cs="Verdana"/>
          <w:sz w:val="20"/>
          <w:szCs w:val="20"/>
        </w:rPr>
        <w:instrText xml:space="preserve"> GOTOBUTTON ZEqnNum946809  \* MERGEFORMAT </w:instrText>
      </w:r>
      <w:r>
        <w:rPr>
          <w:rFonts w:ascii="Verdana" w:hAnsi="Verdana" w:cs="Verdana"/>
          <w:sz w:val="20"/>
          <w:szCs w:val="20"/>
        </w:rPr>
        <w:fldChar w:fldCharType="begin"/>
      </w:r>
      <w:r>
        <w:rPr>
          <w:rFonts w:ascii="Verdana" w:hAnsi="Verdana" w:cs="Verdana"/>
          <w:sz w:val="20"/>
          <w:szCs w:val="20"/>
        </w:rPr>
        <w:instrText xml:space="preserve"> REF ZEqnNum946809 \* Charformat \! \* MERGEFORMAT </w:instrText>
      </w:r>
      <w:r>
        <w:rPr>
          <w:rFonts w:ascii="Verdana" w:hAnsi="Verdana" w:cs="Verdana"/>
          <w:sz w:val="20"/>
          <w:szCs w:val="20"/>
        </w:rPr>
        <w:fldChar w:fldCharType="separate"/>
      </w:r>
      <w:r>
        <w:rPr>
          <w:rFonts w:ascii="Verdana" w:hAnsi="Verdana" w:cs="Verdana"/>
          <w:sz w:val="20"/>
          <w:szCs w:val="20"/>
        </w:rPr>
        <w:instrText>(</w:instrText>
      </w:r>
      <w:r w:rsidRPr="009619E6">
        <w:rPr>
          <w:rFonts w:ascii="Verdana" w:hAnsi="Verdana" w:cs="Verdana"/>
          <w:sz w:val="20"/>
          <w:szCs w:val="20"/>
        </w:rPr>
        <w:instrText>7</w:instrText>
      </w:r>
      <w:r>
        <w:rPr>
          <w:rFonts w:ascii="Verdana" w:hAnsi="Verdana" w:cs="Verdana"/>
          <w:sz w:val="20"/>
          <w:szCs w:val="20"/>
        </w:rPr>
        <w:instrText>)</w:instrText>
      </w:r>
      <w:r>
        <w:rPr>
          <w:rFonts w:ascii="Verdana" w:hAnsi="Verdana" w:cs="Verdana"/>
          <w:sz w:val="20"/>
          <w:szCs w:val="20"/>
        </w:rPr>
        <w:fldChar w:fldCharType="end"/>
      </w:r>
      <w:r>
        <w:rPr>
          <w:rFonts w:ascii="Verdana" w:hAnsi="Verdana" w:cs="Verdana"/>
          <w:sz w:val="20"/>
          <w:szCs w:val="20"/>
        </w:rPr>
        <w:fldChar w:fldCharType="end"/>
      </w:r>
      <w:r>
        <w:rPr>
          <w:rFonts w:ascii="Verdana" w:hAnsi="Verdana" w:cs="Verdana"/>
          <w:sz w:val="20"/>
          <w:szCs w:val="20"/>
        </w:rPr>
        <w:t>. We can see that it is a linear function of the standard deviation of the net stock levels. This is safety stock level can be obtained via standard newsvendor techniques.</w:t>
      </w:r>
    </w:p>
    <w:tbl>
      <w:tblPr>
        <w:tblW w:w="0" w:type="auto"/>
        <w:tblLook w:val="00A0" w:firstRow="1" w:lastRow="0" w:firstColumn="1" w:lastColumn="0" w:noHBand="0" w:noVBand="0"/>
      </w:tblPr>
      <w:tblGrid>
        <w:gridCol w:w="8188"/>
        <w:gridCol w:w="1054"/>
      </w:tblGrid>
      <w:tr w:rsidR="00454BC8" w:rsidRPr="002A2A2D">
        <w:tc>
          <w:tcPr>
            <w:tcW w:w="8188" w:type="dxa"/>
          </w:tcPr>
          <w:p w:rsidR="00454BC8" w:rsidRPr="002A2A2D" w:rsidRDefault="00454BC8" w:rsidP="002A2A2D">
            <w:pPr>
              <w:spacing w:after="0" w:line="240" w:lineRule="auto"/>
              <w:jc w:val="both"/>
              <w:rPr>
                <w:rFonts w:ascii="Verdana" w:hAnsi="Verdana" w:cs="Verdana"/>
                <w:sz w:val="20"/>
                <w:szCs w:val="20"/>
              </w:rPr>
            </w:pPr>
            <w:r w:rsidRPr="003D1AD5">
              <w:rPr>
                <w:rFonts w:ascii="Verdana" w:eastAsia="Times New Roman" w:hAnsi="Verdana" w:cs="Times New Roman"/>
                <w:position w:val="-16"/>
                <w:sz w:val="20"/>
                <w:szCs w:val="20"/>
              </w:rPr>
              <w:object w:dxaOrig="2720" w:dyaOrig="440">
                <v:shape id="_x0000_i1044" type="#_x0000_t75" style="width:134.25pt;height:21pt" o:ole="">
                  <v:imagedata r:id="rId42" o:title=""/>
                </v:shape>
                <o:OLEObject Type="Embed" ProgID="Equation.DSMT4" ShapeID="_x0000_i1044" DrawAspect="Content" ObjectID="_1430551573" r:id="rId43"/>
              </w:object>
            </w:r>
          </w:p>
        </w:tc>
        <w:tc>
          <w:tcPr>
            <w:tcW w:w="1054" w:type="dxa"/>
            <w:vAlign w:val="center"/>
          </w:tcPr>
          <w:p w:rsidR="00454BC8" w:rsidRPr="002A2A2D" w:rsidRDefault="00454BC8" w:rsidP="000E107A">
            <w:pPr>
              <w:spacing w:after="0" w:line="240" w:lineRule="auto"/>
              <w:jc w:val="right"/>
              <w:rPr>
                <w:rFonts w:ascii="Verdana" w:hAnsi="Verdana" w:cs="Verdana"/>
                <w:sz w:val="20"/>
                <w:szCs w:val="20"/>
              </w:rPr>
            </w:pPr>
            <w:r>
              <w:rPr>
                <w:rFonts w:ascii="Verdana" w:hAnsi="Verdana" w:cs="Verdana"/>
                <w:sz w:val="20"/>
                <w:szCs w:val="20"/>
              </w:rPr>
              <w:fldChar w:fldCharType="begin"/>
            </w:r>
            <w:r>
              <w:rPr>
                <w:rFonts w:ascii="Verdana" w:hAnsi="Verdana" w:cs="Verdana"/>
                <w:sz w:val="20"/>
                <w:szCs w:val="20"/>
              </w:rPr>
              <w:instrText xml:space="preserve"> MACROBUTTON MTPlaceRef \* MERGEFORMAT </w:instrText>
            </w:r>
            <w:r>
              <w:rPr>
                <w:rFonts w:ascii="Verdana" w:hAnsi="Verdana" w:cs="Verdana"/>
                <w:sz w:val="20"/>
                <w:szCs w:val="20"/>
              </w:rPr>
              <w:fldChar w:fldCharType="begin"/>
            </w:r>
            <w:r>
              <w:rPr>
                <w:rFonts w:ascii="Verdana" w:hAnsi="Verdana" w:cs="Verdana"/>
                <w:sz w:val="20"/>
                <w:szCs w:val="20"/>
              </w:rPr>
              <w:instrText xml:space="preserve"> SEQ MTEqn \h \* MERGEFORMAT </w:instrText>
            </w:r>
            <w:r>
              <w:rPr>
                <w:rFonts w:ascii="Verdana" w:hAnsi="Verdana" w:cs="Verdana"/>
                <w:sz w:val="20"/>
                <w:szCs w:val="20"/>
              </w:rPr>
              <w:fldChar w:fldCharType="end"/>
            </w:r>
            <w:bookmarkStart w:id="5" w:name="ZEqnNum946809"/>
            <w:r>
              <w:rPr>
                <w:rFonts w:ascii="Verdana" w:hAnsi="Verdana" w:cs="Verdana"/>
                <w:sz w:val="20"/>
                <w:szCs w:val="20"/>
              </w:rPr>
              <w:instrText>(</w:instrText>
            </w:r>
            <w:fldSimple w:instr=" SEQ MTEqn \c \* Arabic \* MERGEFORMAT ">
              <w:r w:rsidRPr="008F1B5F">
                <w:rPr>
                  <w:rFonts w:ascii="Verdana" w:hAnsi="Verdana" w:cs="Verdana"/>
                  <w:noProof/>
                  <w:sz w:val="20"/>
                  <w:szCs w:val="20"/>
                </w:rPr>
                <w:instrText>7</w:instrText>
              </w:r>
            </w:fldSimple>
            <w:r>
              <w:rPr>
                <w:rFonts w:ascii="Verdana" w:hAnsi="Verdana" w:cs="Verdana"/>
                <w:sz w:val="20"/>
                <w:szCs w:val="20"/>
              </w:rPr>
              <w:instrText>)</w:instrText>
            </w:r>
            <w:bookmarkEnd w:id="5"/>
            <w:r>
              <w:rPr>
                <w:rFonts w:ascii="Verdana" w:hAnsi="Verdana" w:cs="Verdana"/>
                <w:sz w:val="20"/>
                <w:szCs w:val="20"/>
              </w:rPr>
              <w:fldChar w:fldCharType="end"/>
            </w:r>
          </w:p>
        </w:tc>
      </w:tr>
    </w:tbl>
    <w:p w:rsidR="00454BC8" w:rsidRPr="001D6F12" w:rsidRDefault="00454BC8" w:rsidP="003D1AD5">
      <w:pPr>
        <w:spacing w:after="0" w:line="280" w:lineRule="exact"/>
        <w:jc w:val="both"/>
        <w:rPr>
          <w:rFonts w:ascii="Verdana" w:eastAsia="Times New Roman" w:hAnsi="Verdana"/>
          <w:sz w:val="20"/>
          <w:szCs w:val="20"/>
        </w:rPr>
      </w:pPr>
      <w:r>
        <w:rPr>
          <w:rFonts w:ascii="Verdana" w:hAnsi="Verdana" w:cs="Verdana"/>
          <w:sz w:val="20"/>
          <w:szCs w:val="20"/>
        </w:rPr>
        <w:t xml:space="preserve">The average amount of inventory held at any moment of time is </w:t>
      </w:r>
      <w:r w:rsidRPr="001D6F12">
        <w:rPr>
          <w:rFonts w:ascii="Verdana" w:eastAsia="Times New Roman" w:hAnsi="Verdana" w:cs="Times New Roman"/>
          <w:position w:val="-12"/>
          <w:sz w:val="20"/>
          <w:szCs w:val="20"/>
        </w:rPr>
        <w:object w:dxaOrig="1300" w:dyaOrig="380">
          <v:shape id="_x0000_i1045" type="#_x0000_t75" style="width:63.75pt;height:18pt" o:ole="">
            <v:imagedata r:id="rId44" o:title=""/>
          </v:shape>
          <o:OLEObject Type="Embed" ProgID="Equation.DSMT4" ShapeID="_x0000_i1045" DrawAspect="Content" ObjectID="_1430551574" r:id="rId45"/>
        </w:object>
      </w:r>
      <w:r>
        <w:rPr>
          <w:rFonts w:ascii="Verdana" w:eastAsia="Times New Roman" w:hAnsi="Verdana" w:cs="Verdana"/>
          <w:sz w:val="20"/>
          <w:szCs w:val="20"/>
        </w:rPr>
        <w:t xml:space="preserve"> &amp;</w:t>
      </w:r>
      <w:r>
        <w:rPr>
          <w:rFonts w:ascii="Verdana" w:hAnsi="Verdana" w:cs="Verdana"/>
          <w:sz w:val="20"/>
          <w:szCs w:val="20"/>
        </w:rPr>
        <w:t xml:space="preserve"> the expected costs associated with the safety stock is given by,</w:t>
      </w:r>
    </w:p>
    <w:tbl>
      <w:tblPr>
        <w:tblW w:w="0" w:type="auto"/>
        <w:tblLook w:val="00A0" w:firstRow="1" w:lastRow="0" w:firstColumn="1" w:lastColumn="0" w:noHBand="0" w:noVBand="0"/>
      </w:tblPr>
      <w:tblGrid>
        <w:gridCol w:w="8188"/>
        <w:gridCol w:w="1054"/>
      </w:tblGrid>
      <w:tr w:rsidR="00454BC8" w:rsidRPr="002A2A2D">
        <w:tc>
          <w:tcPr>
            <w:tcW w:w="8188" w:type="dxa"/>
          </w:tcPr>
          <w:p w:rsidR="00454BC8" w:rsidRPr="00AE6F6C" w:rsidRDefault="00454BC8" w:rsidP="003D1AD5">
            <w:pPr>
              <w:spacing w:after="0" w:line="280" w:lineRule="exact"/>
              <w:jc w:val="both"/>
              <w:rPr>
                <w:rFonts w:ascii="Verdana" w:eastAsia="Times New Roman" w:hAnsi="Verdana"/>
                <w:sz w:val="20"/>
                <w:szCs w:val="20"/>
              </w:rPr>
            </w:pPr>
            <w:r w:rsidRPr="001D6F12">
              <w:rPr>
                <w:rFonts w:ascii="Verdana" w:eastAsia="Times New Roman" w:hAnsi="Verdana" w:cs="Times New Roman"/>
                <w:position w:val="-12"/>
                <w:sz w:val="20"/>
                <w:szCs w:val="20"/>
              </w:rPr>
              <w:object w:dxaOrig="3420" w:dyaOrig="639">
                <v:shape id="_x0000_i1046" type="#_x0000_t75" style="width:171.75pt;height:30.75pt" o:ole="">
                  <v:imagedata r:id="rId46" o:title=""/>
                </v:shape>
                <o:OLEObject Type="Embed" ProgID="Equation.DSMT4" ShapeID="_x0000_i1046" DrawAspect="Content" ObjectID="_1430551575" r:id="rId47"/>
              </w:object>
            </w:r>
            <w:r>
              <w:rPr>
                <w:rFonts w:ascii="Verdana" w:eastAsia="Times New Roman" w:hAnsi="Verdana" w:cs="Verdana"/>
                <w:sz w:val="20"/>
                <w:szCs w:val="20"/>
              </w:rPr>
              <w:t>.</w:t>
            </w:r>
          </w:p>
        </w:tc>
        <w:tc>
          <w:tcPr>
            <w:tcW w:w="1054" w:type="dxa"/>
            <w:vAlign w:val="center"/>
          </w:tcPr>
          <w:p w:rsidR="00454BC8" w:rsidRPr="002A2A2D" w:rsidRDefault="00454BC8" w:rsidP="003D1AD5">
            <w:pPr>
              <w:spacing w:after="0" w:line="280" w:lineRule="exact"/>
              <w:jc w:val="right"/>
              <w:rPr>
                <w:rFonts w:ascii="Verdana" w:hAnsi="Verdana" w:cs="Verdana"/>
              </w:rPr>
            </w:pPr>
            <w:r>
              <w:rPr>
                <w:rFonts w:ascii="Verdana" w:hAnsi="Verdana" w:cs="Verdana"/>
              </w:rPr>
              <w:fldChar w:fldCharType="begin"/>
            </w:r>
            <w:r>
              <w:rPr>
                <w:rFonts w:ascii="Verdana" w:hAnsi="Verdana" w:cs="Verdana"/>
              </w:rPr>
              <w:instrText xml:space="preserve"> MACROBUTTON MTPlaceRef \* MERGEFORMAT </w:instrText>
            </w:r>
            <w:r>
              <w:rPr>
                <w:rFonts w:ascii="Verdana" w:hAnsi="Verdana" w:cs="Verdana"/>
              </w:rPr>
              <w:fldChar w:fldCharType="begin"/>
            </w:r>
            <w:r>
              <w:rPr>
                <w:rFonts w:ascii="Verdana" w:hAnsi="Verdana" w:cs="Verdana"/>
              </w:rPr>
              <w:instrText xml:space="preserve"> SEQ MTEqn \h \* MERGEFORMAT </w:instrText>
            </w:r>
            <w:r>
              <w:rPr>
                <w:rFonts w:ascii="Verdana" w:hAnsi="Verdana" w:cs="Verdana"/>
              </w:rPr>
              <w:fldChar w:fldCharType="end"/>
            </w:r>
            <w:r>
              <w:rPr>
                <w:rFonts w:ascii="Verdana" w:hAnsi="Verdana" w:cs="Verdana"/>
              </w:rPr>
              <w:instrText>(</w:instrText>
            </w:r>
            <w:fldSimple w:instr=" SEQ MTEqn \c \* Arabic \* MERGEFORMAT ">
              <w:r w:rsidRPr="008F1B5F">
                <w:rPr>
                  <w:rFonts w:ascii="Verdana" w:hAnsi="Verdana" w:cs="Verdana"/>
                  <w:noProof/>
                </w:rPr>
                <w:instrText>9</w:instrText>
              </w:r>
            </w:fldSimple>
            <w:r>
              <w:rPr>
                <w:rFonts w:ascii="Verdana" w:hAnsi="Verdana" w:cs="Verdana"/>
              </w:rPr>
              <w:instrText>)</w:instrText>
            </w:r>
            <w:r>
              <w:rPr>
                <w:rFonts w:ascii="Verdana" w:hAnsi="Verdana" w:cs="Verdana"/>
              </w:rPr>
              <w:fldChar w:fldCharType="end"/>
            </w:r>
          </w:p>
        </w:tc>
      </w:tr>
    </w:tbl>
    <w:p w:rsidR="00ED4CFA" w:rsidRDefault="00ED4CFA" w:rsidP="00607E3F">
      <w:pPr>
        <w:spacing w:after="0" w:line="280" w:lineRule="exact"/>
        <w:jc w:val="both"/>
        <w:rPr>
          <w:rFonts w:ascii="Verdana" w:hAnsi="Verdana" w:cs="Verdana"/>
          <w:i/>
          <w:iCs/>
          <w:sz w:val="20"/>
          <w:szCs w:val="20"/>
        </w:rPr>
      </w:pPr>
    </w:p>
    <w:p w:rsidR="00454BC8" w:rsidRPr="00ED4CFA" w:rsidRDefault="00ED4CFA" w:rsidP="00607E3F">
      <w:pPr>
        <w:spacing w:after="0" w:line="280" w:lineRule="exact"/>
        <w:jc w:val="both"/>
        <w:rPr>
          <w:rFonts w:ascii="Verdana" w:hAnsi="Verdana" w:cs="Verdana"/>
          <w:b/>
          <w:iCs/>
          <w:sz w:val="20"/>
          <w:szCs w:val="20"/>
        </w:rPr>
      </w:pPr>
      <w:r>
        <w:rPr>
          <w:rFonts w:ascii="Verdana" w:hAnsi="Verdana" w:cs="Verdana"/>
          <w:b/>
          <w:iCs/>
          <w:sz w:val="20"/>
          <w:szCs w:val="20"/>
        </w:rPr>
        <w:t>Capacity costs</w:t>
      </w:r>
    </w:p>
    <w:p w:rsidR="00454BC8" w:rsidRDefault="00454BC8" w:rsidP="00607E3F">
      <w:pPr>
        <w:spacing w:after="0" w:line="280" w:lineRule="exact"/>
        <w:jc w:val="both"/>
        <w:rPr>
          <w:rFonts w:ascii="Verdana" w:hAnsi="Verdana" w:cs="Verdana"/>
          <w:sz w:val="20"/>
          <w:szCs w:val="20"/>
        </w:rPr>
      </w:pPr>
      <w:r>
        <w:rPr>
          <w:rFonts w:ascii="Verdana" w:hAnsi="Verdana" w:cs="Verdana"/>
          <w:sz w:val="20"/>
          <w:szCs w:val="20"/>
        </w:rPr>
        <w:t>The supply chain lead-time &amp; demand process also create a capacity cost in the UK warehouse. Specifically it is associated with the order variance &amp; it creates a variable workload in the warehouse associated with unloading products from trucks &amp; putting them away in the warehouse. UK staff, in both cases, are guaranteed a st</w:t>
      </w:r>
      <w:r w:rsidR="00F06178">
        <w:rPr>
          <w:rFonts w:ascii="Verdana" w:hAnsi="Verdana" w:cs="Verdana"/>
          <w:sz w:val="20"/>
          <w:szCs w:val="20"/>
        </w:rPr>
        <w:t>andard (40 hour) working week &amp;</w:t>
      </w:r>
      <w:r>
        <w:rPr>
          <w:rFonts w:ascii="Verdana" w:hAnsi="Verdana" w:cs="Verdana"/>
          <w:sz w:val="20"/>
          <w:szCs w:val="20"/>
        </w:rPr>
        <w:t xml:space="preserve"> offered overtime at “time &amp; a half” during evenings &amp; weekends. These “unloading &amp; putting away” capacity costs are given</w:t>
      </w:r>
      <w:r w:rsidR="00F06178">
        <w:rPr>
          <w:rFonts w:ascii="Verdana" w:hAnsi="Verdana" w:cs="Verdana"/>
          <w:sz w:val="20"/>
          <w:szCs w:val="20"/>
        </w:rPr>
        <w:t xml:space="preserve"> (Disney et al.</w:t>
      </w:r>
      <w:proofErr w:type="gramStart"/>
      <w:r w:rsidR="00F06178">
        <w:rPr>
          <w:rFonts w:ascii="Verdana" w:hAnsi="Verdana" w:cs="Verdana"/>
          <w:sz w:val="20"/>
          <w:szCs w:val="20"/>
        </w:rPr>
        <w:t>,2012</w:t>
      </w:r>
      <w:proofErr w:type="gramEnd"/>
      <w:r w:rsidR="00F06178">
        <w:rPr>
          <w:rFonts w:ascii="Verdana" w:hAnsi="Verdana" w:cs="Verdana"/>
          <w:sz w:val="20"/>
          <w:szCs w:val="20"/>
        </w:rPr>
        <w:t>)</w:t>
      </w:r>
      <w:r w:rsidR="00F06178">
        <w:rPr>
          <w:rFonts w:ascii="Verdana" w:hAnsi="Verdana" w:cs="Verdana"/>
          <w:sz w:val="20"/>
          <w:szCs w:val="20"/>
        </w:rPr>
        <w:t xml:space="preserve"> </w:t>
      </w:r>
      <w:r>
        <w:rPr>
          <w:rFonts w:ascii="Verdana" w:hAnsi="Verdana" w:cs="Verdana"/>
          <w:sz w:val="20"/>
          <w:szCs w:val="20"/>
        </w:rPr>
        <w:t xml:space="preserve">by </w:t>
      </w:r>
    </w:p>
    <w:tbl>
      <w:tblPr>
        <w:tblW w:w="9288" w:type="dxa"/>
        <w:tblLook w:val="01E0" w:firstRow="1" w:lastRow="1" w:firstColumn="1" w:lastColumn="1" w:noHBand="0" w:noVBand="0"/>
      </w:tblPr>
      <w:tblGrid>
        <w:gridCol w:w="8208"/>
        <w:gridCol w:w="1080"/>
      </w:tblGrid>
      <w:tr w:rsidR="00454BC8" w:rsidRPr="002A2A2D">
        <w:tc>
          <w:tcPr>
            <w:tcW w:w="8208" w:type="dxa"/>
          </w:tcPr>
          <w:p w:rsidR="00454BC8" w:rsidRPr="002A2A2D" w:rsidRDefault="00454BC8" w:rsidP="003D1AD5">
            <w:pPr>
              <w:spacing w:after="0"/>
              <w:rPr>
                <w:rFonts w:ascii="Verdana" w:hAnsi="Verdana" w:cs="Verdana"/>
                <w:sz w:val="20"/>
                <w:szCs w:val="20"/>
              </w:rPr>
            </w:pPr>
            <w:r w:rsidRPr="00840247">
              <w:rPr>
                <w:rFonts w:ascii="Verdana" w:eastAsia="Times New Roman" w:hAnsi="Verdana" w:cs="Times New Roman"/>
                <w:position w:val="-16"/>
              </w:rPr>
              <w:object w:dxaOrig="6960" w:dyaOrig="480">
                <v:shape id="_x0000_i1047" type="#_x0000_t75" style="width:343.5pt;height:23.25pt" o:ole="">
                  <v:imagedata r:id="rId48" o:title=""/>
                </v:shape>
                <o:OLEObject Type="Embed" ProgID="Equation.DSMT4" ShapeID="_x0000_i1047" DrawAspect="Content" ObjectID="_1430551576" r:id="rId49"/>
              </w:object>
            </w:r>
            <w:r>
              <w:rPr>
                <w:rFonts w:ascii="Verdana" w:eastAsia="Times New Roman" w:hAnsi="Verdana" w:cs="Verdana"/>
              </w:rPr>
              <w:t>,</w:t>
            </w:r>
          </w:p>
        </w:tc>
        <w:tc>
          <w:tcPr>
            <w:tcW w:w="1080" w:type="dxa"/>
            <w:vAlign w:val="center"/>
          </w:tcPr>
          <w:p w:rsidR="00454BC8" w:rsidRPr="002A2A2D" w:rsidRDefault="00454BC8" w:rsidP="003D1AD5">
            <w:pPr>
              <w:spacing w:after="0"/>
              <w:jc w:val="right"/>
              <w:rPr>
                <w:rFonts w:ascii="Verdana" w:hAnsi="Verdana" w:cs="Verdana"/>
                <w:sz w:val="20"/>
                <w:szCs w:val="20"/>
              </w:rPr>
            </w:pPr>
            <w:r w:rsidRPr="002A2A2D">
              <w:rPr>
                <w:rFonts w:ascii="Verdana" w:hAnsi="Verdana" w:cs="Verdana"/>
                <w:sz w:val="20"/>
                <w:szCs w:val="20"/>
              </w:rPr>
              <w:fldChar w:fldCharType="begin"/>
            </w:r>
            <w:r w:rsidRPr="002A2A2D">
              <w:rPr>
                <w:rFonts w:ascii="Verdana" w:hAnsi="Verdana" w:cs="Verdana"/>
                <w:sz w:val="20"/>
                <w:szCs w:val="20"/>
              </w:rPr>
              <w:instrText xml:space="preserve"> MACROBUTTON MTPlaceRef \* MERGEFORMAT </w:instrText>
            </w:r>
            <w:r w:rsidRPr="002A2A2D">
              <w:rPr>
                <w:rFonts w:ascii="Verdana" w:hAnsi="Verdana" w:cs="Verdana"/>
                <w:sz w:val="20"/>
                <w:szCs w:val="20"/>
              </w:rPr>
              <w:fldChar w:fldCharType="begin"/>
            </w:r>
            <w:r w:rsidRPr="002A2A2D">
              <w:rPr>
                <w:rFonts w:ascii="Verdana" w:hAnsi="Verdana" w:cs="Verdana"/>
                <w:sz w:val="20"/>
                <w:szCs w:val="20"/>
              </w:rPr>
              <w:instrText xml:space="preserve"> SEQ MTEqn \h \* MERGEFORMAT </w:instrText>
            </w:r>
            <w:r w:rsidRPr="002A2A2D">
              <w:rPr>
                <w:rFonts w:ascii="Verdana" w:hAnsi="Verdana" w:cs="Verdana"/>
                <w:sz w:val="20"/>
                <w:szCs w:val="20"/>
              </w:rPr>
              <w:fldChar w:fldCharType="end"/>
            </w:r>
            <w:r w:rsidRPr="00AD3B59">
              <w:rPr>
                <w:rFonts w:ascii="Verdana" w:eastAsia="MS Mincho" w:hAnsi="Verdana" w:cs="Verdana"/>
                <w:sz w:val="20"/>
                <w:szCs w:val="20"/>
              </w:rPr>
              <w:instrText>(</w:instrText>
            </w:r>
            <w:fldSimple w:instr=" SEQ MTEqn \c \* Arabic \* MERGEFORMAT ">
              <w:r w:rsidRPr="008F1B5F">
                <w:rPr>
                  <w:rFonts w:ascii="Verdana" w:hAnsi="Verdana" w:cs="Verdana"/>
                  <w:noProof/>
                  <w:sz w:val="20"/>
                  <w:szCs w:val="20"/>
                </w:rPr>
                <w:instrText>10</w:instrText>
              </w:r>
            </w:fldSimple>
            <w:r w:rsidRPr="00AD3B59">
              <w:rPr>
                <w:rFonts w:ascii="Verdana" w:eastAsia="MS Mincho" w:hAnsi="Verdana" w:cs="Verdana"/>
                <w:sz w:val="20"/>
                <w:szCs w:val="20"/>
              </w:rPr>
              <w:instrText>)</w:instrText>
            </w:r>
            <w:r w:rsidRPr="002A2A2D">
              <w:rPr>
                <w:rFonts w:ascii="Verdana" w:hAnsi="Verdana" w:cs="Verdana"/>
                <w:sz w:val="20"/>
                <w:szCs w:val="20"/>
              </w:rPr>
              <w:fldChar w:fldCharType="end"/>
            </w:r>
          </w:p>
        </w:tc>
      </w:tr>
    </w:tbl>
    <w:p w:rsidR="00454BC8" w:rsidRDefault="00454BC8" w:rsidP="003D1AD5">
      <w:pPr>
        <w:spacing w:after="0" w:line="280" w:lineRule="exact"/>
        <w:jc w:val="both"/>
        <w:rPr>
          <w:rFonts w:ascii="Verdana" w:eastAsia="Times New Roman" w:hAnsi="Verdana"/>
          <w:sz w:val="20"/>
          <w:szCs w:val="20"/>
        </w:rPr>
      </w:pPr>
      <w:r w:rsidRPr="00B7137C">
        <w:rPr>
          <w:rFonts w:ascii="Verdana" w:hAnsi="Verdana" w:cs="Verdana"/>
          <w:sz w:val="20"/>
          <w:szCs w:val="20"/>
        </w:rPr>
        <w:t>Note that, here we are ignoring the fact that labour could be used to manage other products in the warehouse.</w:t>
      </w:r>
      <w:r>
        <w:rPr>
          <w:rFonts w:ascii="Verdana" w:hAnsi="Verdana" w:cs="Verdana"/>
          <w:sz w:val="20"/>
          <w:szCs w:val="20"/>
        </w:rPr>
        <w:t xml:space="preserve"> </w:t>
      </w:r>
      <w:r w:rsidRPr="00B7137C">
        <w:rPr>
          <w:rFonts w:ascii="Verdana" w:hAnsi="Verdana" w:cs="Verdana"/>
          <w:sz w:val="20"/>
          <w:szCs w:val="20"/>
        </w:rPr>
        <w:t>So the capacity costs should be taken to be a worst case scenario.</w:t>
      </w:r>
      <w:r>
        <w:rPr>
          <w:rFonts w:ascii="Verdana" w:hAnsi="Verdana" w:cs="Verdana"/>
          <w:sz w:val="20"/>
          <w:szCs w:val="20"/>
        </w:rPr>
        <w:t xml:space="preserve"> </w:t>
      </w:r>
      <w:r w:rsidRPr="00B7137C">
        <w:rPr>
          <w:rFonts w:ascii="Verdana" w:hAnsi="Verdana" w:cs="Verdana"/>
          <w:sz w:val="20"/>
          <w:szCs w:val="20"/>
        </w:rPr>
        <w:t>Thus the following unload cost function exists.</w:t>
      </w:r>
      <w:r>
        <w:rPr>
          <w:rFonts w:ascii="Verdana" w:hAnsi="Verdana" w:cs="Verdana"/>
          <w:sz w:val="20"/>
          <w:szCs w:val="20"/>
        </w:rPr>
        <w:t xml:space="preserve"> </w:t>
      </w:r>
      <w:r w:rsidRPr="00B7137C">
        <w:rPr>
          <w:rFonts w:ascii="Verdana" w:hAnsi="Verdana" w:cs="Verdana"/>
          <w:i/>
          <w:iCs/>
          <w:sz w:val="20"/>
          <w:szCs w:val="20"/>
        </w:rPr>
        <w:t>U</w:t>
      </w:r>
      <w:r w:rsidRPr="00B7137C">
        <w:rPr>
          <w:rFonts w:ascii="Verdana" w:hAnsi="Verdana" w:cs="Verdana"/>
          <w:sz w:val="20"/>
          <w:szCs w:val="20"/>
        </w:rPr>
        <w:t xml:space="preserve"> is the cost of unloading a bed.</w:t>
      </w:r>
      <w:r>
        <w:rPr>
          <w:rFonts w:ascii="Verdana" w:hAnsi="Verdana" w:cs="Verdana"/>
          <w:sz w:val="20"/>
          <w:szCs w:val="20"/>
        </w:rPr>
        <w:t xml:space="preserve"> </w:t>
      </w:r>
      <w:r w:rsidRPr="00B7137C">
        <w:rPr>
          <w:rFonts w:ascii="Verdana" w:hAnsi="Verdana" w:cs="Verdana"/>
          <w:i/>
          <w:iCs/>
          <w:sz w:val="20"/>
          <w:szCs w:val="20"/>
        </w:rPr>
        <w:t>W</w:t>
      </w:r>
      <w:r w:rsidRPr="00B7137C">
        <w:rPr>
          <w:rFonts w:ascii="Verdana" w:hAnsi="Verdana" w:cs="Verdana"/>
          <w:sz w:val="20"/>
          <w:szCs w:val="20"/>
        </w:rPr>
        <w:t xml:space="preserve"> is the cost of over-time work per bed per week, </w:t>
      </w:r>
      <w:r w:rsidRPr="00B7137C">
        <w:rPr>
          <w:rFonts w:ascii="Verdana" w:hAnsi="Verdana" w:cs="Verdana"/>
          <w:i/>
          <w:iCs/>
          <w:sz w:val="20"/>
          <w:szCs w:val="20"/>
        </w:rPr>
        <w:t>W</w:t>
      </w:r>
      <w:r w:rsidRPr="00B7137C">
        <w:rPr>
          <w:rFonts w:ascii="Verdana" w:hAnsi="Verdana" w:cs="Verdana"/>
          <w:sz w:val="20"/>
          <w:szCs w:val="20"/>
        </w:rPr>
        <w:t>=1.5</w:t>
      </w:r>
      <w:r w:rsidRPr="00B7137C">
        <w:rPr>
          <w:rFonts w:ascii="Verdana" w:hAnsi="Verdana" w:cs="Verdana"/>
          <w:i/>
          <w:iCs/>
          <w:position w:val="-4"/>
          <w:sz w:val="20"/>
          <w:szCs w:val="20"/>
        </w:rPr>
        <w:object w:dxaOrig="180" w:dyaOrig="200">
          <v:shape id="_x0000_i1048" type="#_x0000_t75" style="width:9.75pt;height:9.75pt" o:ole="">
            <v:imagedata r:id="rId50" o:title=""/>
          </v:shape>
          <o:OLEObject Type="Embed" ProgID="Equation.DSMT4" ShapeID="_x0000_i1048" DrawAspect="Content" ObjectID="_1430551577" r:id="rId51"/>
        </w:object>
      </w:r>
      <w:r w:rsidRPr="00B7137C">
        <w:rPr>
          <w:rFonts w:ascii="Verdana" w:hAnsi="Verdana" w:cs="Verdana"/>
          <w:i/>
          <w:iCs/>
          <w:sz w:val="20"/>
          <w:szCs w:val="20"/>
        </w:rPr>
        <w:t>U</w:t>
      </w:r>
      <w:r w:rsidRPr="00B7137C">
        <w:rPr>
          <w:rFonts w:ascii="Verdana" w:hAnsi="Verdana" w:cs="Verdana"/>
          <w:sz w:val="20"/>
          <w:szCs w:val="20"/>
        </w:rPr>
        <w:t>.</w:t>
      </w:r>
      <w:r>
        <w:rPr>
          <w:rFonts w:ascii="Verdana" w:hAnsi="Verdana" w:cs="Verdana"/>
          <w:sz w:val="20"/>
          <w:szCs w:val="20"/>
        </w:rPr>
        <w:t xml:space="preserve"> </w:t>
      </w:r>
      <w:r w:rsidRPr="00B7137C">
        <w:rPr>
          <w:rFonts w:ascii="Verdana" w:hAnsi="Verdana" w:cs="Verdana"/>
          <w:i/>
          <w:iCs/>
          <w:sz w:val="20"/>
          <w:szCs w:val="20"/>
        </w:rPr>
        <w:t>o</w:t>
      </w:r>
      <w:r w:rsidRPr="00B7137C">
        <w:rPr>
          <w:rFonts w:ascii="Verdana" w:hAnsi="Verdana" w:cs="Verdana"/>
          <w:i/>
          <w:iCs/>
          <w:sz w:val="20"/>
          <w:szCs w:val="20"/>
          <w:vertAlign w:val="subscript"/>
        </w:rPr>
        <w:t>t-Tp-1</w:t>
      </w:r>
      <w:r>
        <w:rPr>
          <w:rFonts w:ascii="Verdana" w:hAnsi="Verdana" w:cs="Verdana"/>
          <w:sz w:val="20"/>
          <w:szCs w:val="20"/>
          <w:vertAlign w:val="subscript"/>
        </w:rPr>
        <w:t xml:space="preserve"> </w:t>
      </w:r>
      <w:r w:rsidRPr="00B7137C">
        <w:rPr>
          <w:rFonts w:ascii="Verdana" w:hAnsi="Verdana" w:cs="Verdana"/>
          <w:sz w:val="20"/>
          <w:szCs w:val="20"/>
        </w:rPr>
        <w:t xml:space="preserve">is the order placed in week </w:t>
      </w:r>
      <w:r w:rsidRPr="00B7137C">
        <w:rPr>
          <w:rFonts w:ascii="Verdana" w:hAnsi="Verdana" w:cs="Verdana"/>
          <w:i/>
          <w:iCs/>
          <w:sz w:val="20"/>
          <w:szCs w:val="20"/>
        </w:rPr>
        <w:t>t-Tp-1,</w:t>
      </w:r>
      <w:r w:rsidRPr="00B7137C">
        <w:rPr>
          <w:rFonts w:ascii="Verdana" w:hAnsi="Verdana" w:cs="Verdana"/>
          <w:sz w:val="20"/>
          <w:szCs w:val="20"/>
        </w:rPr>
        <w:t xml:space="preserve"> </w:t>
      </w:r>
      <w:r w:rsidRPr="00B7137C">
        <w:rPr>
          <w:rFonts w:ascii="Verdana" w:hAnsi="Verdana" w:cs="Verdana"/>
          <w:position w:val="-12"/>
          <w:sz w:val="20"/>
          <w:szCs w:val="20"/>
        </w:rPr>
        <w:object w:dxaOrig="320" w:dyaOrig="360">
          <v:shape id="_x0000_i1049" type="#_x0000_t75" style="width:15pt;height:18pt" o:ole="">
            <v:imagedata r:id="rId52" o:title=""/>
          </v:shape>
          <o:OLEObject Type="Embed" ProgID="Equation.DSMT4" ShapeID="_x0000_i1049" DrawAspect="Content" ObjectID="_1430551578" r:id="rId53"/>
        </w:object>
      </w:r>
      <w:r w:rsidRPr="00B7137C">
        <w:rPr>
          <w:rFonts w:ascii="Verdana" w:hAnsi="Verdana" w:cs="Verdana"/>
          <w:sz w:val="20"/>
          <w:szCs w:val="20"/>
        </w:rPr>
        <w:t xml:space="preserve"> is the mean demand</w:t>
      </w:r>
      <w:r>
        <w:rPr>
          <w:rFonts w:ascii="Verdana" w:hAnsi="Verdana" w:cs="Verdana"/>
          <w:sz w:val="20"/>
          <w:szCs w:val="20"/>
        </w:rPr>
        <w:t xml:space="preserve"> &amp;</w:t>
      </w:r>
      <w:r w:rsidRPr="00B7137C">
        <w:rPr>
          <w:rFonts w:ascii="Verdana" w:hAnsi="Verdana" w:cs="Verdana"/>
          <w:sz w:val="20"/>
          <w:szCs w:val="20"/>
        </w:rPr>
        <w:t xml:space="preserve"> </w:t>
      </w:r>
      <w:r w:rsidRPr="00B7137C">
        <w:rPr>
          <w:rFonts w:ascii="Verdana" w:hAnsi="Verdana" w:cs="Verdana"/>
          <w:i/>
          <w:iCs/>
          <w:sz w:val="20"/>
          <w:szCs w:val="20"/>
        </w:rPr>
        <w:t>S</w:t>
      </w:r>
      <w:r w:rsidRPr="00B7137C">
        <w:rPr>
          <w:rFonts w:ascii="Verdana" w:hAnsi="Verdana" w:cs="Verdana"/>
          <w:sz w:val="20"/>
          <w:szCs w:val="20"/>
        </w:rPr>
        <w:t xml:space="preserve"> is the slack labour capacity above (or below when </w:t>
      </w:r>
      <w:r w:rsidRPr="00B7137C">
        <w:rPr>
          <w:rFonts w:ascii="Verdana" w:hAnsi="Verdana" w:cs="Verdana"/>
          <w:i/>
          <w:iCs/>
          <w:sz w:val="20"/>
          <w:szCs w:val="20"/>
        </w:rPr>
        <w:t>S</w:t>
      </w:r>
      <w:r w:rsidRPr="00B7137C">
        <w:rPr>
          <w:rFonts w:ascii="Verdana" w:hAnsi="Verdana" w:cs="Verdana"/>
          <w:sz w:val="20"/>
          <w:szCs w:val="20"/>
        </w:rPr>
        <w:t xml:space="preserve"> is negative) the mean demand.</w:t>
      </w:r>
      <w:r>
        <w:rPr>
          <w:rFonts w:ascii="Verdana" w:hAnsi="Verdana" w:cs="Verdana"/>
          <w:sz w:val="20"/>
          <w:szCs w:val="20"/>
        </w:rPr>
        <w:t xml:space="preserve"> </w:t>
      </w:r>
      <w:r w:rsidRPr="00B7137C">
        <w:rPr>
          <w:rFonts w:ascii="Verdana" w:hAnsi="Verdana" w:cs="Verdana"/>
          <w:sz w:val="20"/>
          <w:szCs w:val="20"/>
        </w:rPr>
        <w:t xml:space="preserve">Thus </w:t>
      </w:r>
      <w:r w:rsidRPr="00B7137C">
        <w:rPr>
          <w:rFonts w:ascii="Verdana" w:hAnsi="Verdana" w:cs="Verdana"/>
          <w:position w:val="-12"/>
          <w:sz w:val="20"/>
          <w:szCs w:val="20"/>
        </w:rPr>
        <w:object w:dxaOrig="680" w:dyaOrig="360">
          <v:shape id="_x0000_i1050" type="#_x0000_t75" style="width:33pt;height:18pt" o:ole="">
            <v:imagedata r:id="rId54" o:title=""/>
          </v:shape>
          <o:OLEObject Type="Embed" ProgID="Equation.DSMT4" ShapeID="_x0000_i1050" DrawAspect="Content" ObjectID="_1430551579" r:id="rId55"/>
        </w:object>
      </w:r>
      <w:r w:rsidRPr="00B7137C">
        <w:rPr>
          <w:rFonts w:ascii="Verdana" w:hAnsi="Verdana" w:cs="Verdana"/>
          <w:sz w:val="20"/>
          <w:szCs w:val="20"/>
        </w:rPr>
        <w:t xml:space="preserve"> is the unloading capacity of the normal working week.</w:t>
      </w:r>
      <w:r>
        <w:rPr>
          <w:rFonts w:ascii="Verdana" w:hAnsi="Verdana" w:cs="Verdana"/>
          <w:sz w:val="20"/>
          <w:szCs w:val="20"/>
        </w:rPr>
        <w:t xml:space="preserve"> The optimal slack capacity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034"/>
      </w:tblGrid>
      <w:tr w:rsidR="00454BC8">
        <w:tc>
          <w:tcPr>
            <w:tcW w:w="8208" w:type="dxa"/>
          </w:tcPr>
          <w:p w:rsidR="00454BC8" w:rsidRDefault="00454BC8" w:rsidP="007E75DB">
            <w:pPr>
              <w:spacing w:after="0"/>
              <w:jc w:val="both"/>
              <w:rPr>
                <w:rFonts w:ascii="Verdana" w:hAnsi="Verdana" w:cs="Verdana"/>
              </w:rPr>
            </w:pPr>
            <w:r w:rsidRPr="001D6F12">
              <w:rPr>
                <w:rFonts w:ascii="Verdana" w:eastAsia="Times New Roman" w:hAnsi="Verdana" w:cs="Times New Roman"/>
                <w:position w:val="-14"/>
                <w:sz w:val="22"/>
                <w:szCs w:val="22"/>
              </w:rPr>
              <w:object w:dxaOrig="2160" w:dyaOrig="420">
                <v:shape id="_x0000_i1051" type="#_x0000_t75" style="width:106.5pt;height:19.5pt" o:ole="">
                  <v:imagedata r:id="rId56" o:title=""/>
                </v:shape>
                <o:OLEObject Type="Embed" ProgID="Equation.DSMT4" ShapeID="_x0000_i1051" DrawAspect="Content" ObjectID="_1430551580" r:id="rId57"/>
              </w:object>
            </w:r>
            <w:r>
              <w:rPr>
                <w:rFonts w:ascii="Verdana" w:eastAsia="Times New Roman" w:hAnsi="Verdana" w:cs="Verdana"/>
              </w:rPr>
              <w:t>,</w:t>
            </w:r>
          </w:p>
        </w:tc>
        <w:tc>
          <w:tcPr>
            <w:tcW w:w="1034" w:type="dxa"/>
            <w:vAlign w:val="center"/>
          </w:tcPr>
          <w:p w:rsidR="00454BC8" w:rsidRDefault="00454BC8" w:rsidP="00C40F54">
            <w:pPr>
              <w:spacing w:after="0"/>
              <w:jc w:val="right"/>
              <w:rPr>
                <w:rFonts w:ascii="Verdana" w:hAnsi="Verdana" w:cs="Verdana"/>
              </w:rPr>
            </w:pPr>
            <w:r>
              <w:rPr>
                <w:rFonts w:ascii="Verdana" w:hAnsi="Verdana" w:cs="Verdana"/>
              </w:rPr>
              <w:fldChar w:fldCharType="begin"/>
            </w:r>
            <w:r>
              <w:rPr>
                <w:rFonts w:ascii="Verdana" w:hAnsi="Verdana" w:cs="Verdana"/>
              </w:rPr>
              <w:instrText xml:space="preserve"> MACROBUTTON MTPlaceRef \* MERGEFORMAT </w:instrText>
            </w:r>
            <w:r>
              <w:rPr>
                <w:rFonts w:ascii="Verdana" w:hAnsi="Verdana" w:cs="Verdana"/>
              </w:rPr>
              <w:fldChar w:fldCharType="begin"/>
            </w:r>
            <w:r>
              <w:rPr>
                <w:rFonts w:ascii="Verdana" w:hAnsi="Verdana" w:cs="Verdana"/>
              </w:rPr>
              <w:instrText xml:space="preserve"> SEQ MTEqn \h \* MERGEFORMAT </w:instrText>
            </w:r>
            <w:r>
              <w:rPr>
                <w:rFonts w:ascii="Verdana" w:hAnsi="Verdana" w:cs="Verdana"/>
              </w:rPr>
              <w:fldChar w:fldCharType="end"/>
            </w:r>
            <w:r>
              <w:rPr>
                <w:rFonts w:ascii="Verdana" w:hAnsi="Verdana" w:cs="Verdana"/>
              </w:rPr>
              <w:instrText>(</w:instrText>
            </w:r>
            <w:fldSimple w:instr=" SEQ MTEqn \c \* Arabic \* MERGEFORMAT ">
              <w:r>
                <w:rPr>
                  <w:rFonts w:ascii="Verdana" w:hAnsi="Verdana" w:cs="Verdana"/>
                  <w:noProof/>
                </w:rPr>
                <w:instrText>11</w:instrText>
              </w:r>
            </w:fldSimple>
            <w:r>
              <w:rPr>
                <w:rFonts w:ascii="Verdana" w:hAnsi="Verdana" w:cs="Verdana"/>
              </w:rPr>
              <w:instrText>)</w:instrText>
            </w:r>
            <w:r>
              <w:rPr>
                <w:rFonts w:ascii="Verdana" w:hAnsi="Verdana" w:cs="Verdana"/>
              </w:rPr>
              <w:fldChar w:fldCharType="end"/>
            </w:r>
          </w:p>
        </w:tc>
      </w:tr>
    </w:tbl>
    <w:p w:rsidR="00454BC8" w:rsidRDefault="00454BC8" w:rsidP="007E75DB">
      <w:pPr>
        <w:spacing w:after="0"/>
        <w:jc w:val="both"/>
        <w:rPr>
          <w:rFonts w:ascii="Verdana" w:hAnsi="Verdana" w:cs="Verdana"/>
          <w:sz w:val="20"/>
          <w:szCs w:val="20"/>
        </w:rPr>
      </w:pPr>
      <w:r>
        <w:rPr>
          <w:rFonts w:ascii="Verdana" w:hAnsi="Verdana" w:cs="Verdana"/>
          <w:sz w:val="20"/>
          <w:szCs w:val="20"/>
        </w:rPr>
        <w:t>and the minimised unloading &amp; putting away cost in the UK warehouse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034"/>
      </w:tblGrid>
      <w:tr w:rsidR="00454BC8">
        <w:tc>
          <w:tcPr>
            <w:tcW w:w="8208" w:type="dxa"/>
          </w:tcPr>
          <w:p w:rsidR="00454BC8" w:rsidRDefault="00454BC8" w:rsidP="007E75DB">
            <w:pPr>
              <w:spacing w:after="0"/>
              <w:jc w:val="both"/>
              <w:rPr>
                <w:rFonts w:ascii="Verdana" w:hAnsi="Verdana" w:cs="Verdana"/>
              </w:rPr>
            </w:pPr>
            <w:r w:rsidRPr="001D6F12">
              <w:rPr>
                <w:rFonts w:ascii="Verdana" w:eastAsia="Times New Roman" w:hAnsi="Verdana" w:cs="Times New Roman"/>
                <w:position w:val="-14"/>
                <w:sz w:val="22"/>
                <w:szCs w:val="22"/>
              </w:rPr>
              <w:object w:dxaOrig="3660" w:dyaOrig="660">
                <v:shape id="_x0000_i1052" type="#_x0000_t75" style="width:183pt;height:33pt" o:ole="">
                  <v:imagedata r:id="rId58" o:title=""/>
                </v:shape>
                <o:OLEObject Type="Embed" ProgID="Equation.DSMT4" ShapeID="_x0000_i1052" DrawAspect="Content" ObjectID="_1430551581" r:id="rId59"/>
              </w:object>
            </w:r>
            <w:r>
              <w:rPr>
                <w:rFonts w:ascii="Verdana" w:eastAsia="Times New Roman" w:hAnsi="Verdana" w:cs="Verdana"/>
              </w:rPr>
              <w:t>.</w:t>
            </w:r>
          </w:p>
        </w:tc>
        <w:tc>
          <w:tcPr>
            <w:tcW w:w="1034" w:type="dxa"/>
            <w:vAlign w:val="center"/>
          </w:tcPr>
          <w:p w:rsidR="00454BC8" w:rsidRDefault="00454BC8" w:rsidP="00C40F54">
            <w:pPr>
              <w:spacing w:after="0"/>
              <w:jc w:val="right"/>
              <w:rPr>
                <w:rFonts w:ascii="Verdana" w:hAnsi="Verdana" w:cs="Verdana"/>
              </w:rPr>
            </w:pPr>
            <w:r>
              <w:rPr>
                <w:rFonts w:ascii="Verdana" w:hAnsi="Verdana" w:cs="Verdana"/>
              </w:rPr>
              <w:fldChar w:fldCharType="begin"/>
            </w:r>
            <w:r>
              <w:rPr>
                <w:rFonts w:ascii="Verdana" w:hAnsi="Verdana" w:cs="Verdana"/>
              </w:rPr>
              <w:instrText xml:space="preserve"> MACROBUTTON MTPlaceRef \* MERGEFORMAT </w:instrText>
            </w:r>
            <w:r>
              <w:rPr>
                <w:rFonts w:ascii="Verdana" w:hAnsi="Verdana" w:cs="Verdana"/>
              </w:rPr>
              <w:fldChar w:fldCharType="begin"/>
            </w:r>
            <w:r>
              <w:rPr>
                <w:rFonts w:ascii="Verdana" w:hAnsi="Verdana" w:cs="Verdana"/>
              </w:rPr>
              <w:instrText xml:space="preserve"> SEQ MTEqn \h \* MERGEFORMAT </w:instrText>
            </w:r>
            <w:r>
              <w:rPr>
                <w:rFonts w:ascii="Verdana" w:hAnsi="Verdana" w:cs="Verdana"/>
              </w:rPr>
              <w:fldChar w:fldCharType="end"/>
            </w:r>
            <w:r>
              <w:rPr>
                <w:rFonts w:ascii="Verdana" w:hAnsi="Verdana" w:cs="Verdana"/>
              </w:rPr>
              <w:instrText>(</w:instrText>
            </w:r>
            <w:fldSimple w:instr=" SEQ MTEqn \c \* Arabic \* MERGEFORMAT ">
              <w:r>
                <w:rPr>
                  <w:rFonts w:ascii="Verdana" w:hAnsi="Verdana" w:cs="Verdana"/>
                  <w:noProof/>
                </w:rPr>
                <w:instrText>12</w:instrText>
              </w:r>
            </w:fldSimple>
            <w:r>
              <w:rPr>
                <w:rFonts w:ascii="Verdana" w:hAnsi="Verdana" w:cs="Verdana"/>
              </w:rPr>
              <w:instrText>)</w:instrText>
            </w:r>
            <w:r>
              <w:rPr>
                <w:rFonts w:ascii="Verdana" w:hAnsi="Verdana" w:cs="Verdana"/>
              </w:rPr>
              <w:fldChar w:fldCharType="end"/>
            </w:r>
          </w:p>
        </w:tc>
      </w:tr>
    </w:tbl>
    <w:p w:rsidR="00454BC8" w:rsidRDefault="00454BC8" w:rsidP="007E75DB">
      <w:pPr>
        <w:spacing w:after="0"/>
        <w:jc w:val="both"/>
        <w:rPr>
          <w:rFonts w:ascii="Verdana" w:hAnsi="Verdana" w:cs="Verdana"/>
          <w:sz w:val="20"/>
          <w:szCs w:val="20"/>
        </w:rPr>
      </w:pPr>
    </w:p>
    <w:p w:rsidR="00454BC8" w:rsidRPr="00653D94" w:rsidRDefault="00653D94" w:rsidP="007E75DB">
      <w:pPr>
        <w:spacing w:after="0"/>
        <w:jc w:val="both"/>
        <w:rPr>
          <w:rFonts w:ascii="Verdana" w:hAnsi="Verdana" w:cs="Verdana"/>
          <w:b/>
          <w:sz w:val="20"/>
          <w:szCs w:val="20"/>
        </w:rPr>
      </w:pPr>
      <w:r>
        <w:rPr>
          <w:rFonts w:ascii="Verdana" w:hAnsi="Verdana" w:cs="Verdana"/>
          <w:b/>
          <w:sz w:val="20"/>
          <w:szCs w:val="20"/>
        </w:rPr>
        <w:t>Pipeline costs</w:t>
      </w:r>
    </w:p>
    <w:p w:rsidR="00454BC8" w:rsidRPr="00B7137C" w:rsidRDefault="00454BC8" w:rsidP="00C22C33">
      <w:pPr>
        <w:spacing w:after="0"/>
        <w:jc w:val="both"/>
        <w:rPr>
          <w:rFonts w:ascii="Verdana" w:hAnsi="Verdana" w:cs="Verdana"/>
          <w:sz w:val="20"/>
          <w:szCs w:val="20"/>
        </w:rPr>
      </w:pPr>
      <w:r>
        <w:rPr>
          <w:rFonts w:ascii="Verdana" w:hAnsi="Verdana" w:cs="Verdana"/>
          <w:sz w:val="20"/>
          <w:szCs w:val="20"/>
        </w:rPr>
        <w:t>Many</w:t>
      </w:r>
      <w:r w:rsidRPr="00B7137C">
        <w:rPr>
          <w:rFonts w:ascii="Verdana" w:hAnsi="Verdana" w:cs="Verdana"/>
          <w:sz w:val="20"/>
          <w:szCs w:val="20"/>
        </w:rPr>
        <w:t xml:space="preserve"> Chinese factories require goods to be paid for before they leave the factory, </w:t>
      </w:r>
      <w:r>
        <w:rPr>
          <w:rFonts w:ascii="Verdana" w:hAnsi="Verdana" w:cs="Verdana"/>
          <w:sz w:val="20"/>
          <w:szCs w:val="20"/>
        </w:rPr>
        <w:t>Beds For You</w:t>
      </w:r>
      <w:r w:rsidRPr="00B7137C">
        <w:rPr>
          <w:rFonts w:ascii="Verdana" w:hAnsi="Verdana" w:cs="Verdana"/>
          <w:sz w:val="20"/>
          <w:szCs w:val="20"/>
        </w:rPr>
        <w:t xml:space="preserve"> have 8 weeks of inventory in the supply pipeline that has to be financed in the Chinese option.</w:t>
      </w:r>
      <w:r>
        <w:rPr>
          <w:rFonts w:ascii="Verdana" w:hAnsi="Verdana" w:cs="Verdana"/>
          <w:sz w:val="20"/>
          <w:szCs w:val="20"/>
        </w:rPr>
        <w:t xml:space="preserve"> </w:t>
      </w:r>
      <w:r w:rsidRPr="00B7137C">
        <w:rPr>
          <w:rFonts w:ascii="Verdana" w:hAnsi="Verdana" w:cs="Verdana"/>
          <w:sz w:val="20"/>
          <w:szCs w:val="20"/>
        </w:rPr>
        <w:t xml:space="preserve">There is </w:t>
      </w:r>
      <w:r>
        <w:rPr>
          <w:rFonts w:ascii="Verdana" w:hAnsi="Verdana" w:cs="Verdana"/>
          <w:sz w:val="20"/>
          <w:szCs w:val="20"/>
        </w:rPr>
        <w:t xml:space="preserve">often </w:t>
      </w:r>
      <w:r w:rsidRPr="00B7137C">
        <w:rPr>
          <w:rFonts w:ascii="Verdana" w:hAnsi="Verdana" w:cs="Verdana"/>
          <w:sz w:val="20"/>
          <w:szCs w:val="20"/>
        </w:rPr>
        <w:t xml:space="preserve">no similar cost for the UK </w:t>
      </w:r>
      <w:r>
        <w:rPr>
          <w:rFonts w:ascii="Verdana" w:hAnsi="Verdana" w:cs="Verdana"/>
          <w:sz w:val="20"/>
          <w:szCs w:val="20"/>
        </w:rPr>
        <w:t>accounts</w:t>
      </w:r>
      <w:r w:rsidRPr="00B7137C">
        <w:rPr>
          <w:rFonts w:ascii="Verdana" w:hAnsi="Verdana" w:cs="Verdana"/>
          <w:sz w:val="20"/>
          <w:szCs w:val="20"/>
        </w:rPr>
        <w:t>, as goods are paid for when they are delivered.</w:t>
      </w:r>
      <w:r>
        <w:rPr>
          <w:rFonts w:ascii="Verdana" w:hAnsi="Verdana" w:cs="Verdana"/>
          <w:sz w:val="20"/>
          <w:szCs w:val="20"/>
        </w:rPr>
        <w:t xml:space="preserve"> The expected number of products in the pipeline can be easily obtained via Little’s law</w:t>
      </w:r>
      <w:proofErr w:type="gramStart"/>
      <w:r>
        <w:rPr>
          <w:rFonts w:ascii="Verdana" w:hAnsi="Verdana" w:cs="Verdana"/>
          <w:sz w:val="20"/>
          <w:szCs w:val="20"/>
        </w:rPr>
        <w:t xml:space="preserve">, </w:t>
      </w:r>
      <w:proofErr w:type="gramEnd"/>
      <w:r w:rsidRPr="00AF2DF5">
        <w:rPr>
          <w:rFonts w:ascii="Verdana" w:hAnsi="Verdana" w:cs="Verdana"/>
          <w:position w:val="-14"/>
          <w:sz w:val="20"/>
          <w:szCs w:val="20"/>
        </w:rPr>
        <w:object w:dxaOrig="720" w:dyaOrig="380">
          <v:shape id="_x0000_i1053" type="#_x0000_t75" style="width:36pt;height:18pt" o:ole="">
            <v:imagedata r:id="rId60" o:title=""/>
          </v:shape>
          <o:OLEObject Type="Embed" ProgID="Equation.DSMT4" ShapeID="_x0000_i1053" DrawAspect="Content" ObjectID="_1430551582" r:id="rId61"/>
        </w:object>
      </w:r>
      <w:r>
        <w:rPr>
          <w:rFonts w:ascii="Verdana" w:hAnsi="Verdana" w:cs="Verdana"/>
          <w:sz w:val="20"/>
          <w:szCs w:val="20"/>
        </w:rPr>
        <w:t>.</w:t>
      </w:r>
    </w:p>
    <w:p w:rsidR="00454BC8" w:rsidRDefault="00454BC8" w:rsidP="007E75DB">
      <w:pPr>
        <w:spacing w:after="0"/>
        <w:jc w:val="both"/>
        <w:rPr>
          <w:rFonts w:ascii="Verdana" w:hAnsi="Verdana" w:cs="Verdana"/>
          <w:sz w:val="20"/>
          <w:szCs w:val="20"/>
        </w:rPr>
      </w:pPr>
    </w:p>
    <w:p w:rsidR="00454BC8" w:rsidRPr="00AF2DF5" w:rsidRDefault="00454BC8" w:rsidP="00436C4E">
      <w:pPr>
        <w:spacing w:after="0"/>
        <w:jc w:val="both"/>
        <w:rPr>
          <w:rFonts w:ascii="Verdana" w:hAnsi="Verdana" w:cs="Verdana"/>
          <w:b/>
          <w:bCs/>
          <w:sz w:val="20"/>
          <w:szCs w:val="20"/>
        </w:rPr>
      </w:pPr>
      <w:r w:rsidRPr="00AF2DF5">
        <w:rPr>
          <w:rFonts w:ascii="Verdana" w:hAnsi="Verdana" w:cs="Verdana"/>
          <w:b/>
          <w:bCs/>
          <w:sz w:val="20"/>
          <w:szCs w:val="20"/>
        </w:rPr>
        <w:t xml:space="preserve">CASE </w:t>
      </w:r>
      <w:r>
        <w:rPr>
          <w:rFonts w:ascii="Verdana" w:hAnsi="Verdana" w:cs="Verdana"/>
          <w:b/>
          <w:bCs/>
          <w:sz w:val="20"/>
          <w:szCs w:val="20"/>
        </w:rPr>
        <w:t xml:space="preserve">STUDY </w:t>
      </w:r>
      <w:r w:rsidRPr="00AF2DF5">
        <w:rPr>
          <w:rFonts w:ascii="Verdana" w:hAnsi="Verdana" w:cs="Verdana"/>
          <w:b/>
          <w:bCs/>
          <w:sz w:val="20"/>
          <w:szCs w:val="20"/>
        </w:rPr>
        <w:t>1: THE BED</w:t>
      </w:r>
      <w:r>
        <w:rPr>
          <w:rFonts w:ascii="Verdana" w:hAnsi="Verdana" w:cs="Verdana"/>
          <w:b/>
          <w:bCs/>
          <w:sz w:val="20"/>
          <w:szCs w:val="20"/>
        </w:rPr>
        <w:t>S</w:t>
      </w:r>
      <w:r w:rsidRPr="00AF2DF5">
        <w:rPr>
          <w:rFonts w:ascii="Verdana" w:hAnsi="Verdana" w:cs="Verdana"/>
          <w:b/>
          <w:bCs/>
          <w:sz w:val="20"/>
          <w:szCs w:val="20"/>
        </w:rPr>
        <w:t xml:space="preserve"> FOR YOU SCENARIO</w:t>
      </w:r>
    </w:p>
    <w:p w:rsidR="00454BC8" w:rsidRPr="00B7137C" w:rsidRDefault="00454BC8" w:rsidP="00436C4E">
      <w:pPr>
        <w:spacing w:after="0"/>
        <w:jc w:val="both"/>
        <w:rPr>
          <w:rFonts w:ascii="Verdana" w:hAnsi="Verdana" w:cs="Verdana"/>
          <w:sz w:val="20"/>
          <w:szCs w:val="20"/>
        </w:rPr>
      </w:pPr>
      <w:r w:rsidRPr="00B7137C">
        <w:rPr>
          <w:rFonts w:ascii="Verdana" w:hAnsi="Verdana" w:cs="Verdana"/>
          <w:sz w:val="20"/>
          <w:szCs w:val="20"/>
        </w:rPr>
        <w:t>A UK supplier of double beds charges £30 per bed.</w:t>
      </w:r>
      <w:r>
        <w:rPr>
          <w:rFonts w:ascii="Verdana" w:hAnsi="Verdana" w:cs="Verdana"/>
          <w:sz w:val="20"/>
          <w:szCs w:val="20"/>
        </w:rPr>
        <w:t xml:space="preserve"> T</w:t>
      </w:r>
      <w:r w:rsidRPr="00B7137C">
        <w:rPr>
          <w:rFonts w:ascii="Verdana" w:hAnsi="Verdana" w:cs="Verdana"/>
          <w:sz w:val="20"/>
          <w:szCs w:val="20"/>
        </w:rPr>
        <w:t>he UK supplier incurs costs of £6 for materials</w:t>
      </w:r>
      <w:r>
        <w:rPr>
          <w:rFonts w:ascii="Verdana" w:hAnsi="Verdana" w:cs="Verdana"/>
          <w:sz w:val="20"/>
          <w:szCs w:val="20"/>
        </w:rPr>
        <w:t xml:space="preserve"> &amp;</w:t>
      </w:r>
      <w:r w:rsidRPr="00B7137C">
        <w:rPr>
          <w:rFonts w:ascii="Verdana" w:hAnsi="Verdana" w:cs="Verdana"/>
          <w:sz w:val="20"/>
          <w:szCs w:val="20"/>
        </w:rPr>
        <w:t xml:space="preserve"> energy, £21 for labour</w:t>
      </w:r>
      <w:r>
        <w:rPr>
          <w:rFonts w:ascii="Verdana" w:hAnsi="Verdana" w:cs="Verdana"/>
          <w:sz w:val="20"/>
          <w:szCs w:val="20"/>
        </w:rPr>
        <w:t xml:space="preserve"> &amp;</w:t>
      </w:r>
      <w:r w:rsidRPr="00B7137C">
        <w:rPr>
          <w:rFonts w:ascii="Verdana" w:hAnsi="Verdana" w:cs="Verdana"/>
          <w:sz w:val="20"/>
          <w:szCs w:val="20"/>
        </w:rPr>
        <w:t xml:space="preserve"> £3 for other costs</w:t>
      </w:r>
      <w:r>
        <w:rPr>
          <w:rFonts w:ascii="Verdana" w:hAnsi="Verdana" w:cs="Verdana"/>
          <w:sz w:val="20"/>
          <w:szCs w:val="20"/>
        </w:rPr>
        <w:t xml:space="preserve"> &amp;</w:t>
      </w:r>
      <w:r w:rsidRPr="00B7137C">
        <w:rPr>
          <w:rFonts w:ascii="Verdana" w:hAnsi="Verdana" w:cs="Verdana"/>
          <w:sz w:val="20"/>
          <w:szCs w:val="20"/>
        </w:rPr>
        <w:t xml:space="preserve"> profit. It is delivered free to the Beds For </w:t>
      </w:r>
      <w:r>
        <w:rPr>
          <w:rFonts w:ascii="Verdana" w:hAnsi="Verdana" w:cs="Verdana"/>
          <w:sz w:val="20"/>
          <w:szCs w:val="20"/>
        </w:rPr>
        <w:t>You</w:t>
      </w:r>
      <w:r w:rsidRPr="00B7137C">
        <w:rPr>
          <w:rFonts w:ascii="Verdana" w:hAnsi="Verdana" w:cs="Verdana"/>
          <w:sz w:val="20"/>
          <w:szCs w:val="20"/>
        </w:rPr>
        <w:t xml:space="preserve"> warehouse in on pallets.</w:t>
      </w:r>
      <w:r>
        <w:rPr>
          <w:rFonts w:ascii="Verdana" w:hAnsi="Verdana" w:cs="Verdana"/>
          <w:sz w:val="20"/>
          <w:szCs w:val="20"/>
        </w:rPr>
        <w:t xml:space="preserve"> </w:t>
      </w:r>
      <w:r w:rsidRPr="00B7137C">
        <w:rPr>
          <w:rFonts w:ascii="Verdana" w:hAnsi="Verdana" w:cs="Verdana"/>
          <w:sz w:val="20"/>
          <w:szCs w:val="20"/>
        </w:rPr>
        <w:t>The cost of unloading the truck with warehouse truck is £0.25 per bed in normal working hours (£0.375 in over-time).</w:t>
      </w:r>
      <w:r>
        <w:rPr>
          <w:rFonts w:ascii="Verdana" w:hAnsi="Verdana" w:cs="Verdana"/>
          <w:sz w:val="20"/>
          <w:szCs w:val="20"/>
        </w:rPr>
        <w:t xml:space="preserve"> </w:t>
      </w:r>
      <w:r w:rsidRPr="00B7137C">
        <w:rPr>
          <w:rFonts w:ascii="Verdana" w:hAnsi="Verdana" w:cs="Verdana"/>
          <w:sz w:val="20"/>
          <w:szCs w:val="20"/>
        </w:rPr>
        <w:t>An order that is placed in one week, will arrive in the week after next, thus the physical lead-time is one week with a review period of one week.</w:t>
      </w:r>
    </w:p>
    <w:p w:rsidR="00454BC8" w:rsidRPr="00B7137C" w:rsidRDefault="00454BC8" w:rsidP="00436C4E">
      <w:pPr>
        <w:spacing w:after="0"/>
        <w:rPr>
          <w:rFonts w:ascii="Verdana" w:hAnsi="Verdana" w:cs="Verdana"/>
          <w:b/>
          <w:bCs/>
          <w:sz w:val="20"/>
          <w:szCs w:val="20"/>
        </w:rPr>
      </w:pPr>
    </w:p>
    <w:p w:rsidR="00454BC8" w:rsidRPr="00B7137C" w:rsidRDefault="00454BC8" w:rsidP="00436C4E">
      <w:pPr>
        <w:spacing w:after="0"/>
        <w:jc w:val="both"/>
        <w:rPr>
          <w:rFonts w:ascii="Verdana" w:hAnsi="Verdana" w:cs="Verdana"/>
          <w:sz w:val="20"/>
          <w:szCs w:val="20"/>
        </w:rPr>
      </w:pPr>
      <w:r w:rsidRPr="00B7137C">
        <w:rPr>
          <w:rFonts w:ascii="Verdana" w:hAnsi="Verdana" w:cs="Verdana"/>
          <w:sz w:val="20"/>
          <w:szCs w:val="20"/>
        </w:rPr>
        <w:t>The Chinese supplier of double beds charges £9 per bed.</w:t>
      </w:r>
      <w:r>
        <w:rPr>
          <w:rFonts w:ascii="Verdana" w:hAnsi="Verdana" w:cs="Verdana"/>
          <w:sz w:val="20"/>
          <w:szCs w:val="20"/>
        </w:rPr>
        <w:t xml:space="preserve"> </w:t>
      </w:r>
      <w:r w:rsidRPr="00B7137C">
        <w:rPr>
          <w:rFonts w:ascii="Verdana" w:hAnsi="Verdana" w:cs="Verdana"/>
          <w:sz w:val="20"/>
          <w:szCs w:val="20"/>
        </w:rPr>
        <w:t xml:space="preserve">Beds For </w:t>
      </w:r>
      <w:r>
        <w:rPr>
          <w:rFonts w:ascii="Verdana" w:hAnsi="Verdana" w:cs="Verdana"/>
          <w:sz w:val="20"/>
          <w:szCs w:val="20"/>
        </w:rPr>
        <w:t>You</w:t>
      </w:r>
      <w:r w:rsidRPr="00B7137C">
        <w:rPr>
          <w:rFonts w:ascii="Verdana" w:hAnsi="Verdana" w:cs="Verdana"/>
          <w:sz w:val="20"/>
          <w:szCs w:val="20"/>
        </w:rPr>
        <w:t xml:space="preserve"> suspects that the Chinese supplier incurs costs of £5 for materials</w:t>
      </w:r>
      <w:r>
        <w:rPr>
          <w:rFonts w:ascii="Verdana" w:hAnsi="Verdana" w:cs="Verdana"/>
          <w:sz w:val="20"/>
          <w:szCs w:val="20"/>
        </w:rPr>
        <w:t xml:space="preserve"> &amp;</w:t>
      </w:r>
      <w:r w:rsidRPr="00B7137C">
        <w:rPr>
          <w:rFonts w:ascii="Verdana" w:hAnsi="Verdana" w:cs="Verdana"/>
          <w:sz w:val="20"/>
          <w:szCs w:val="20"/>
        </w:rPr>
        <w:t xml:space="preserve"> energy, £3 for labour</w:t>
      </w:r>
      <w:r>
        <w:rPr>
          <w:rFonts w:ascii="Verdana" w:hAnsi="Verdana" w:cs="Verdana"/>
          <w:sz w:val="20"/>
          <w:szCs w:val="20"/>
        </w:rPr>
        <w:t xml:space="preserve"> &amp;</w:t>
      </w:r>
      <w:r w:rsidRPr="00B7137C">
        <w:rPr>
          <w:rFonts w:ascii="Verdana" w:hAnsi="Verdana" w:cs="Verdana"/>
          <w:sz w:val="20"/>
          <w:szCs w:val="20"/>
        </w:rPr>
        <w:t xml:space="preserve"> £1 for other costs</w:t>
      </w:r>
      <w:r>
        <w:rPr>
          <w:rFonts w:ascii="Verdana" w:hAnsi="Verdana" w:cs="Verdana"/>
          <w:sz w:val="20"/>
          <w:szCs w:val="20"/>
        </w:rPr>
        <w:t xml:space="preserve"> &amp;</w:t>
      </w:r>
      <w:r w:rsidRPr="00B7137C">
        <w:rPr>
          <w:rFonts w:ascii="Verdana" w:hAnsi="Verdana" w:cs="Verdana"/>
          <w:sz w:val="20"/>
          <w:szCs w:val="20"/>
        </w:rPr>
        <w:t xml:space="preserve"> profit. It is delivered FOB in a 40ft High Cube container to a Cargo Liner that leaves from Shenzhen Port in China for the UK.</w:t>
      </w:r>
      <w:r>
        <w:rPr>
          <w:rFonts w:ascii="Verdana" w:hAnsi="Verdana" w:cs="Verdana"/>
          <w:sz w:val="20"/>
          <w:szCs w:val="20"/>
        </w:rPr>
        <w:t xml:space="preserve"> The container capacity details were shown in Table 1. </w:t>
      </w:r>
      <w:r w:rsidRPr="00B7137C">
        <w:rPr>
          <w:rFonts w:ascii="Verdana" w:hAnsi="Verdana" w:cs="Verdana"/>
          <w:sz w:val="20"/>
          <w:szCs w:val="20"/>
        </w:rPr>
        <w:t>The Chinese supplier will pack the 40ft High Cube container by hand</w:t>
      </w:r>
      <w:r>
        <w:rPr>
          <w:rFonts w:ascii="Verdana" w:hAnsi="Verdana" w:cs="Verdana"/>
          <w:sz w:val="20"/>
          <w:szCs w:val="20"/>
        </w:rPr>
        <w:t xml:space="preserve"> &amp;</w:t>
      </w:r>
      <w:r w:rsidRPr="00B7137C">
        <w:rPr>
          <w:rFonts w:ascii="Verdana" w:hAnsi="Verdana" w:cs="Verdana"/>
          <w:sz w:val="20"/>
          <w:szCs w:val="20"/>
        </w:rPr>
        <w:t xml:space="preserve"> they can fit up to 360</w:t>
      </w:r>
      <w:r w:rsidR="00ED1BE5">
        <w:rPr>
          <w:rFonts w:ascii="Verdana" w:hAnsi="Verdana" w:cs="Verdana"/>
          <w:sz w:val="20"/>
          <w:szCs w:val="20"/>
        </w:rPr>
        <w:t xml:space="preserve"> double beds into the container, as a cost of £3350 delivered to the UK warehouse. </w:t>
      </w:r>
      <w:r w:rsidRPr="00B7137C">
        <w:rPr>
          <w:rFonts w:ascii="Verdana" w:hAnsi="Verdana" w:cs="Verdana"/>
          <w:sz w:val="20"/>
          <w:szCs w:val="20"/>
        </w:rPr>
        <w:t>These freight charges are paid for when the product is delivered.</w:t>
      </w:r>
      <w:r>
        <w:rPr>
          <w:rFonts w:ascii="Verdana" w:hAnsi="Verdana" w:cs="Verdana"/>
          <w:sz w:val="20"/>
          <w:szCs w:val="20"/>
        </w:rPr>
        <w:t xml:space="preserve"> </w:t>
      </w:r>
      <w:r w:rsidRPr="00B7137C">
        <w:rPr>
          <w:rFonts w:ascii="Verdana" w:hAnsi="Verdana" w:cs="Verdana"/>
          <w:sz w:val="20"/>
          <w:szCs w:val="20"/>
        </w:rPr>
        <w:t>The replenishment lead-time is 8 weeks. This is made up of 6 weeks on board the Cargo Liner, one week for the factory to deliver to the port</w:t>
      </w:r>
      <w:r>
        <w:rPr>
          <w:rFonts w:ascii="Verdana" w:hAnsi="Verdana" w:cs="Verdana"/>
          <w:sz w:val="20"/>
          <w:szCs w:val="20"/>
        </w:rPr>
        <w:t xml:space="preserve"> &amp;</w:t>
      </w:r>
      <w:r w:rsidRPr="00B7137C">
        <w:rPr>
          <w:rFonts w:ascii="Verdana" w:hAnsi="Verdana" w:cs="Verdana"/>
          <w:sz w:val="20"/>
          <w:szCs w:val="20"/>
        </w:rPr>
        <w:t xml:space="preserve"> one week for the shipping company to deliver the container from the UK </w:t>
      </w:r>
      <w:r w:rsidR="00ED1BE5">
        <w:rPr>
          <w:rFonts w:ascii="Verdana" w:hAnsi="Verdana" w:cs="Verdana"/>
          <w:sz w:val="20"/>
          <w:szCs w:val="20"/>
        </w:rPr>
        <w:t>port to the warehouse</w:t>
      </w:r>
      <w:r w:rsidRPr="00B7137C">
        <w:rPr>
          <w:rFonts w:ascii="Verdana" w:hAnsi="Verdana" w:cs="Verdana"/>
          <w:sz w:val="20"/>
          <w:szCs w:val="20"/>
        </w:rPr>
        <w:t xml:space="preserve">. </w:t>
      </w:r>
    </w:p>
    <w:p w:rsidR="00454BC8" w:rsidRPr="00B7137C" w:rsidRDefault="00454BC8" w:rsidP="00436C4E">
      <w:pPr>
        <w:spacing w:after="0"/>
        <w:rPr>
          <w:rFonts w:ascii="Verdana" w:hAnsi="Verdana" w:cs="Verdana"/>
          <w:sz w:val="20"/>
          <w:szCs w:val="20"/>
        </w:rPr>
      </w:pPr>
    </w:p>
    <w:p w:rsidR="00454BC8" w:rsidRPr="00B7137C" w:rsidRDefault="00454BC8" w:rsidP="00436C4E">
      <w:pPr>
        <w:tabs>
          <w:tab w:val="num" w:pos="1440"/>
        </w:tabs>
        <w:spacing w:after="0"/>
        <w:jc w:val="both"/>
        <w:rPr>
          <w:rFonts w:ascii="Verdana" w:hAnsi="Verdana" w:cs="Verdana"/>
          <w:sz w:val="20"/>
          <w:szCs w:val="20"/>
        </w:rPr>
      </w:pPr>
      <w:r w:rsidRPr="00B7137C">
        <w:rPr>
          <w:rFonts w:ascii="Verdana" w:hAnsi="Verdana" w:cs="Verdana"/>
          <w:sz w:val="20"/>
          <w:szCs w:val="20"/>
        </w:rPr>
        <w:t>As the container is not palletized (to put palletized beds in a container would waste too much space) it has to be unloaded manually.</w:t>
      </w:r>
      <w:r>
        <w:rPr>
          <w:rFonts w:ascii="Verdana" w:hAnsi="Verdana" w:cs="Verdana"/>
          <w:sz w:val="20"/>
          <w:szCs w:val="20"/>
        </w:rPr>
        <w:t xml:space="preserve"> </w:t>
      </w:r>
      <w:r w:rsidRPr="00B7137C">
        <w:rPr>
          <w:rFonts w:ascii="Verdana" w:hAnsi="Verdana" w:cs="Verdana"/>
          <w:sz w:val="20"/>
          <w:szCs w:val="20"/>
        </w:rPr>
        <w:t>The shipping company require a container to be unloaded within 3 hours (or a charge of £50 per hour will be levied).</w:t>
      </w:r>
      <w:r>
        <w:rPr>
          <w:rFonts w:ascii="Verdana" w:hAnsi="Verdana" w:cs="Verdana"/>
          <w:sz w:val="20"/>
          <w:szCs w:val="20"/>
        </w:rPr>
        <w:t xml:space="preserve"> </w:t>
      </w:r>
      <w:r w:rsidRPr="00B7137C">
        <w:rPr>
          <w:rFonts w:ascii="Verdana" w:hAnsi="Verdana" w:cs="Verdana"/>
          <w:sz w:val="20"/>
          <w:szCs w:val="20"/>
        </w:rPr>
        <w:t>The warehouse manager estimates that it will cost £1.50 per bed to unload the container</w:t>
      </w:r>
      <w:r>
        <w:rPr>
          <w:rFonts w:ascii="Verdana" w:hAnsi="Verdana" w:cs="Verdana"/>
          <w:sz w:val="20"/>
          <w:szCs w:val="20"/>
        </w:rPr>
        <w:t xml:space="preserve"> &amp;</w:t>
      </w:r>
      <w:r w:rsidRPr="00B7137C">
        <w:rPr>
          <w:rFonts w:ascii="Verdana" w:hAnsi="Verdana" w:cs="Verdana"/>
          <w:sz w:val="20"/>
          <w:szCs w:val="20"/>
        </w:rPr>
        <w:t xml:space="preserve"> palletize the beds at warehouse (3 </w:t>
      </w:r>
      <w:proofErr w:type="spellStart"/>
      <w:r w:rsidRPr="00B7137C">
        <w:rPr>
          <w:rFonts w:ascii="Verdana" w:hAnsi="Verdana" w:cs="Verdana"/>
          <w:sz w:val="20"/>
          <w:szCs w:val="20"/>
        </w:rPr>
        <w:t>hrs</w:t>
      </w:r>
      <w:proofErr w:type="spellEnd"/>
      <w:r w:rsidRPr="00B7137C">
        <w:rPr>
          <w:rFonts w:ascii="Verdana" w:hAnsi="Verdana" w:cs="Verdana"/>
          <w:sz w:val="20"/>
          <w:szCs w:val="20"/>
        </w:rPr>
        <w:t xml:space="preserve"> to unload with 5 people @ £12 per hour per person divided by 360 beds = £1.50) in normal working hours.</w:t>
      </w:r>
      <w:r>
        <w:rPr>
          <w:rFonts w:ascii="Verdana" w:hAnsi="Verdana" w:cs="Verdana"/>
          <w:sz w:val="20"/>
          <w:szCs w:val="20"/>
        </w:rPr>
        <w:t xml:space="preserve"> </w:t>
      </w:r>
      <w:r w:rsidRPr="00B7137C">
        <w:rPr>
          <w:rFonts w:ascii="Verdana" w:hAnsi="Verdana" w:cs="Verdana"/>
          <w:sz w:val="20"/>
          <w:szCs w:val="20"/>
        </w:rPr>
        <w:t>In over-time working this unloading cost increases to £2.25.</w:t>
      </w:r>
    </w:p>
    <w:p w:rsidR="00454BC8" w:rsidRDefault="00454BC8" w:rsidP="00436C4E">
      <w:pPr>
        <w:spacing w:after="0"/>
        <w:rPr>
          <w:rFonts w:ascii="Verdana" w:hAnsi="Verdana" w:cs="Verdana"/>
          <w:sz w:val="20"/>
          <w:szCs w:val="20"/>
        </w:rPr>
      </w:pPr>
    </w:p>
    <w:p w:rsidR="00454BC8" w:rsidRPr="00B7137C" w:rsidRDefault="00454BC8" w:rsidP="00436C4E">
      <w:pPr>
        <w:spacing w:after="0"/>
        <w:jc w:val="both"/>
        <w:rPr>
          <w:rFonts w:ascii="Verdana" w:hAnsi="Verdana" w:cs="Verdana"/>
          <w:sz w:val="20"/>
          <w:szCs w:val="20"/>
        </w:rPr>
      </w:pPr>
      <w:r>
        <w:rPr>
          <w:rFonts w:ascii="Verdana" w:hAnsi="Verdana" w:cs="Verdana"/>
          <w:sz w:val="20"/>
          <w:szCs w:val="20"/>
        </w:rPr>
        <w:t xml:space="preserve">Both static &amp; dynamic elements of cost are analysed to estimate </w:t>
      </w:r>
      <w:r w:rsidRPr="00B7137C">
        <w:rPr>
          <w:rFonts w:ascii="Verdana" w:hAnsi="Verdana" w:cs="Verdana"/>
          <w:sz w:val="20"/>
          <w:szCs w:val="20"/>
        </w:rPr>
        <w:t>the total cost per bed for both options</w:t>
      </w:r>
      <w:r>
        <w:rPr>
          <w:rFonts w:ascii="Verdana" w:hAnsi="Verdana" w:cs="Verdana"/>
          <w:sz w:val="20"/>
          <w:szCs w:val="20"/>
        </w:rPr>
        <w:t xml:space="preserve">, to be obtained from the: Unit product cost &amp; freight cost (static); Expected pipeline inventory costs (dynamic); Expected unloading capacity required &amp; unloading costs (dynamic); Inventory costs, consisting of safety stock &amp; cycle stock (dynamic); Total costs (static &amp; dynamic). </w:t>
      </w:r>
      <w:r w:rsidRPr="00B7137C">
        <w:rPr>
          <w:rFonts w:ascii="Verdana" w:hAnsi="Verdana" w:cs="Verdana"/>
          <w:sz w:val="20"/>
          <w:szCs w:val="20"/>
        </w:rPr>
        <w:t xml:space="preserve">Let’s first consider the obvious costs, the unit </w:t>
      </w:r>
      <w:r>
        <w:rPr>
          <w:rFonts w:ascii="Verdana" w:hAnsi="Verdana" w:cs="Verdana"/>
          <w:sz w:val="20"/>
          <w:szCs w:val="20"/>
        </w:rPr>
        <w:t xml:space="preserve">“landed” </w:t>
      </w:r>
      <w:r w:rsidRPr="00B7137C">
        <w:rPr>
          <w:rFonts w:ascii="Verdana" w:hAnsi="Verdana" w:cs="Verdana"/>
          <w:sz w:val="20"/>
          <w:szCs w:val="20"/>
        </w:rPr>
        <w:t>costs.</w:t>
      </w:r>
      <w:r>
        <w:rPr>
          <w:rFonts w:ascii="Verdana" w:hAnsi="Verdana" w:cs="Verdana"/>
          <w:sz w:val="20"/>
          <w:szCs w:val="20"/>
        </w:rPr>
        <w:t xml:space="preserve"> </w:t>
      </w:r>
      <w:r w:rsidRPr="00B7137C">
        <w:rPr>
          <w:rFonts w:ascii="Verdana" w:hAnsi="Verdana" w:cs="Verdana"/>
          <w:sz w:val="20"/>
          <w:szCs w:val="20"/>
        </w:rPr>
        <w:t>Collecting together the information described above we hav</w:t>
      </w:r>
      <w:r w:rsidRPr="00840247">
        <w:rPr>
          <w:rFonts w:ascii="Verdana" w:hAnsi="Verdana" w:cs="Verdana"/>
          <w:sz w:val="20"/>
          <w:szCs w:val="20"/>
        </w:rPr>
        <w:t xml:space="preserve">e </w:t>
      </w:r>
      <w:r w:rsidR="005E34B1">
        <w:rPr>
          <w:rFonts w:ascii="Verdana" w:hAnsi="Verdana" w:cs="Verdana"/>
          <w:sz w:val="20"/>
          <w:szCs w:val="20"/>
        </w:rPr>
        <w:t xml:space="preserve">Table </w:t>
      </w:r>
      <w:r w:rsidR="005E34B1">
        <w:t xml:space="preserve">3. </w:t>
      </w:r>
      <w:r w:rsidRPr="00B7137C">
        <w:rPr>
          <w:rFonts w:ascii="Verdana" w:hAnsi="Verdana" w:cs="Verdana"/>
          <w:sz w:val="20"/>
          <w:szCs w:val="20"/>
        </w:rPr>
        <w:t xml:space="preserve">Therefore the freight charges per bed will be </w:t>
      </w:r>
      <w:r w:rsidRPr="00B7137C">
        <w:rPr>
          <w:rFonts w:ascii="Verdana" w:hAnsi="Verdana" w:cs="Verdana"/>
          <w:position w:val="-6"/>
          <w:sz w:val="20"/>
          <w:szCs w:val="20"/>
        </w:rPr>
        <w:object w:dxaOrig="3420" w:dyaOrig="279">
          <v:shape id="_x0000_i1054" type="#_x0000_t75" style="width:163.5pt;height:15pt" o:ole="">
            <v:imagedata r:id="rId62" o:title=""/>
          </v:shape>
          <o:OLEObject Type="Embed" ProgID="Equation.DSMT4" ShapeID="_x0000_i1054" DrawAspect="Content" ObjectID="_1430551583" r:id="rId63"/>
        </w:object>
      </w:r>
      <w:r w:rsidRPr="00B7137C">
        <w:rPr>
          <w:rFonts w:ascii="Verdana" w:hAnsi="Verdana" w:cs="Verdana"/>
          <w:sz w:val="20"/>
          <w:szCs w:val="20"/>
        </w:rPr>
        <w:t xml:space="preserve"> per bed.</w:t>
      </w:r>
      <w:r>
        <w:rPr>
          <w:rFonts w:ascii="Verdana" w:hAnsi="Verdana" w:cs="Verdana"/>
          <w:sz w:val="20"/>
          <w:szCs w:val="20"/>
        </w:rPr>
        <w:t xml:space="preserve"> </w:t>
      </w:r>
      <w:r w:rsidRPr="00B7137C">
        <w:rPr>
          <w:rFonts w:ascii="Verdana" w:hAnsi="Verdana" w:cs="Verdana"/>
          <w:sz w:val="20"/>
          <w:szCs w:val="20"/>
        </w:rPr>
        <w:t>So, at first sight the unit cost of beds from China is only 57.5% of that from the UK supplier.</w:t>
      </w:r>
      <w:r>
        <w:rPr>
          <w:rFonts w:ascii="Verdana" w:hAnsi="Verdana" w:cs="Verdana"/>
          <w:sz w:val="20"/>
          <w:szCs w:val="20"/>
        </w:rPr>
        <w:t xml:space="preserve"> </w:t>
      </w:r>
    </w:p>
    <w:p w:rsidR="00454BC8" w:rsidRPr="00B7137C" w:rsidRDefault="00454BC8" w:rsidP="00436C4E">
      <w:pPr>
        <w:spacing w:after="0"/>
        <w:jc w:val="both"/>
        <w:rPr>
          <w:rFonts w:ascii="Verdana" w:hAnsi="Verdana" w:cs="Verdana"/>
          <w:i/>
          <w:iCs/>
          <w:sz w:val="20"/>
          <w:szCs w:val="20"/>
        </w:rPr>
      </w:pPr>
    </w:p>
    <w:p w:rsidR="00454BC8" w:rsidRDefault="00454BC8" w:rsidP="00ED1BE5">
      <w:pPr>
        <w:spacing w:after="0"/>
        <w:jc w:val="both"/>
        <w:rPr>
          <w:rFonts w:ascii="Verdana" w:hAnsi="Verdana" w:cs="Verdana"/>
          <w:sz w:val="20"/>
          <w:szCs w:val="20"/>
        </w:rPr>
      </w:pPr>
      <w:r w:rsidRPr="00B7137C">
        <w:rPr>
          <w:rFonts w:ascii="Verdana" w:hAnsi="Verdana" w:cs="Verdana"/>
          <w:sz w:val="20"/>
          <w:szCs w:val="20"/>
        </w:rPr>
        <w:t>Dynamic costs will be present because of the differences in the lead-times.</w:t>
      </w:r>
      <w:r>
        <w:rPr>
          <w:rFonts w:ascii="Verdana" w:hAnsi="Verdana" w:cs="Verdana"/>
          <w:sz w:val="20"/>
          <w:szCs w:val="20"/>
        </w:rPr>
        <w:t xml:space="preserve"> </w:t>
      </w:r>
      <w:r w:rsidRPr="00B7137C">
        <w:rPr>
          <w:rFonts w:ascii="Verdana" w:hAnsi="Verdana" w:cs="Verdana"/>
          <w:sz w:val="20"/>
          <w:szCs w:val="20"/>
        </w:rPr>
        <w:t>We will need to use our knowledge of the order rate</w:t>
      </w:r>
      <w:r>
        <w:rPr>
          <w:rFonts w:ascii="Verdana" w:hAnsi="Verdana" w:cs="Verdana"/>
          <w:sz w:val="20"/>
          <w:szCs w:val="20"/>
        </w:rPr>
        <w:t xml:space="preserve"> &amp;</w:t>
      </w:r>
      <w:r w:rsidRPr="00B7137C">
        <w:rPr>
          <w:rFonts w:ascii="Verdana" w:hAnsi="Verdana" w:cs="Verdana"/>
          <w:sz w:val="20"/>
          <w:szCs w:val="20"/>
        </w:rPr>
        <w:t xml:space="preserve"> net stock variance amplification ratios</w:t>
      </w:r>
      <w:r>
        <w:rPr>
          <w:rFonts w:ascii="Verdana" w:hAnsi="Verdana" w:cs="Verdana"/>
          <w:sz w:val="20"/>
          <w:szCs w:val="20"/>
        </w:rPr>
        <w:t xml:space="preserve"> (equations </w:t>
      </w:r>
      <w:r>
        <w:rPr>
          <w:rFonts w:ascii="Verdana" w:hAnsi="Verdana" w:cs="Verdana"/>
          <w:sz w:val="20"/>
          <w:szCs w:val="20"/>
        </w:rPr>
        <w:fldChar w:fldCharType="begin"/>
      </w:r>
      <w:r>
        <w:rPr>
          <w:rFonts w:ascii="Verdana" w:hAnsi="Verdana" w:cs="Verdana"/>
          <w:sz w:val="20"/>
          <w:szCs w:val="20"/>
        </w:rPr>
        <w:instrText xml:space="preserve"> GOTOBUTTON ZEqnNum249913  \* MERGEFORMAT </w:instrText>
      </w:r>
      <w:r>
        <w:rPr>
          <w:rFonts w:ascii="Verdana" w:hAnsi="Verdana" w:cs="Verdana"/>
          <w:sz w:val="20"/>
          <w:szCs w:val="20"/>
        </w:rPr>
        <w:fldChar w:fldCharType="begin"/>
      </w:r>
      <w:r>
        <w:rPr>
          <w:rFonts w:ascii="Verdana" w:hAnsi="Verdana" w:cs="Verdana"/>
          <w:sz w:val="20"/>
          <w:szCs w:val="20"/>
        </w:rPr>
        <w:instrText xml:space="preserve"> REF ZEqnNum249913 \* Charformat \! \* MERGEFORMAT </w:instrText>
      </w:r>
      <w:r>
        <w:rPr>
          <w:rFonts w:ascii="Verdana" w:hAnsi="Verdana" w:cs="Verdana"/>
          <w:sz w:val="20"/>
          <w:szCs w:val="20"/>
        </w:rPr>
        <w:fldChar w:fldCharType="separate"/>
      </w:r>
      <w:r>
        <w:rPr>
          <w:rFonts w:ascii="Verdana" w:hAnsi="Verdana" w:cs="Verdana"/>
          <w:sz w:val="20"/>
          <w:szCs w:val="20"/>
        </w:rPr>
        <w:instrText>(</w:instrText>
      </w:r>
      <w:r w:rsidRPr="008F1B5F">
        <w:rPr>
          <w:rFonts w:ascii="Verdana" w:hAnsi="Verdana" w:cs="Verdana"/>
          <w:sz w:val="20"/>
          <w:szCs w:val="20"/>
        </w:rPr>
        <w:instrText>3</w:instrText>
      </w:r>
      <w:r>
        <w:rPr>
          <w:rFonts w:ascii="Verdana" w:hAnsi="Verdana" w:cs="Verdana"/>
          <w:sz w:val="20"/>
          <w:szCs w:val="20"/>
        </w:rPr>
        <w:instrText>)</w:instrText>
      </w:r>
      <w:r>
        <w:rPr>
          <w:rFonts w:ascii="Verdana" w:hAnsi="Verdana" w:cs="Verdana"/>
          <w:sz w:val="20"/>
          <w:szCs w:val="20"/>
        </w:rPr>
        <w:fldChar w:fldCharType="end"/>
      </w:r>
      <w:r>
        <w:rPr>
          <w:rFonts w:ascii="Verdana" w:hAnsi="Verdana" w:cs="Verdana"/>
          <w:sz w:val="20"/>
          <w:szCs w:val="20"/>
        </w:rPr>
        <w:fldChar w:fldCharType="end"/>
      </w:r>
      <w:r>
        <w:rPr>
          <w:rFonts w:ascii="Verdana" w:hAnsi="Verdana" w:cs="Verdana"/>
          <w:sz w:val="20"/>
          <w:szCs w:val="20"/>
        </w:rPr>
        <w:t xml:space="preserve"> </w:t>
      </w:r>
      <w:proofErr w:type="gramStart"/>
      <w:r>
        <w:rPr>
          <w:rFonts w:ascii="Verdana" w:hAnsi="Verdana" w:cs="Verdana"/>
          <w:sz w:val="20"/>
          <w:szCs w:val="20"/>
        </w:rPr>
        <w:t xml:space="preserve">&amp; </w:t>
      </w:r>
      <w:proofErr w:type="gramEnd"/>
      <w:r>
        <w:rPr>
          <w:rFonts w:ascii="Verdana" w:hAnsi="Verdana" w:cs="Verdana"/>
          <w:sz w:val="20"/>
          <w:szCs w:val="20"/>
        </w:rPr>
        <w:fldChar w:fldCharType="begin"/>
      </w:r>
      <w:r>
        <w:rPr>
          <w:rFonts w:ascii="Verdana" w:hAnsi="Verdana" w:cs="Verdana"/>
          <w:sz w:val="20"/>
          <w:szCs w:val="20"/>
        </w:rPr>
        <w:instrText xml:space="preserve"> GOTOBUTTON ZEqnNum417817  \* MERGEFORMAT </w:instrText>
      </w:r>
      <w:r>
        <w:rPr>
          <w:rFonts w:ascii="Verdana" w:hAnsi="Verdana" w:cs="Verdana"/>
          <w:sz w:val="20"/>
          <w:szCs w:val="20"/>
        </w:rPr>
        <w:fldChar w:fldCharType="begin"/>
      </w:r>
      <w:r>
        <w:rPr>
          <w:rFonts w:ascii="Verdana" w:hAnsi="Verdana" w:cs="Verdana"/>
          <w:sz w:val="20"/>
          <w:szCs w:val="20"/>
        </w:rPr>
        <w:instrText xml:space="preserve"> REF ZEqnNum417817 \* Charformat \! \* MERGEFORMAT </w:instrText>
      </w:r>
      <w:r>
        <w:rPr>
          <w:rFonts w:ascii="Verdana" w:hAnsi="Verdana" w:cs="Verdana"/>
          <w:sz w:val="20"/>
          <w:szCs w:val="20"/>
        </w:rPr>
        <w:fldChar w:fldCharType="separate"/>
      </w:r>
      <w:r>
        <w:rPr>
          <w:rFonts w:ascii="Verdana" w:hAnsi="Verdana" w:cs="Verdana"/>
          <w:sz w:val="20"/>
          <w:szCs w:val="20"/>
        </w:rPr>
        <w:instrText>(</w:instrText>
      </w:r>
      <w:r w:rsidRPr="008F1B5F">
        <w:rPr>
          <w:rFonts w:ascii="Verdana" w:hAnsi="Verdana" w:cs="Verdana"/>
          <w:sz w:val="20"/>
          <w:szCs w:val="20"/>
        </w:rPr>
        <w:instrText>4</w:instrText>
      </w:r>
      <w:r>
        <w:rPr>
          <w:rFonts w:ascii="Verdana" w:hAnsi="Verdana" w:cs="Verdana"/>
          <w:sz w:val="20"/>
          <w:szCs w:val="20"/>
        </w:rPr>
        <w:instrText>)</w:instrText>
      </w:r>
      <w:r>
        <w:rPr>
          <w:rFonts w:ascii="Verdana" w:hAnsi="Verdana" w:cs="Verdana"/>
          <w:sz w:val="20"/>
          <w:szCs w:val="20"/>
        </w:rPr>
        <w:fldChar w:fldCharType="end"/>
      </w:r>
      <w:r>
        <w:rPr>
          <w:rFonts w:ascii="Verdana" w:hAnsi="Verdana" w:cs="Verdana"/>
          <w:sz w:val="20"/>
          <w:szCs w:val="20"/>
        </w:rPr>
        <w:fldChar w:fldCharType="end"/>
      </w:r>
      <w:r>
        <w:rPr>
          <w:rFonts w:ascii="Verdana" w:hAnsi="Verdana" w:cs="Verdana"/>
          <w:sz w:val="20"/>
          <w:szCs w:val="20"/>
        </w:rPr>
        <w:t>)</w:t>
      </w:r>
      <w:r w:rsidRPr="00B7137C">
        <w:rPr>
          <w:rFonts w:ascii="Verdana" w:hAnsi="Verdana" w:cs="Verdana"/>
          <w:sz w:val="20"/>
          <w:szCs w:val="20"/>
        </w:rPr>
        <w:t xml:space="preserve"> to calculate the impact of the lead-time, demand, forecasts</w:t>
      </w:r>
      <w:r>
        <w:rPr>
          <w:rFonts w:ascii="Verdana" w:hAnsi="Verdana" w:cs="Verdana"/>
          <w:sz w:val="20"/>
          <w:szCs w:val="20"/>
        </w:rPr>
        <w:t xml:space="preserve"> &amp;</w:t>
      </w:r>
      <w:r w:rsidRPr="00B7137C">
        <w:rPr>
          <w:rFonts w:ascii="Verdana" w:hAnsi="Verdana" w:cs="Verdana"/>
          <w:sz w:val="20"/>
          <w:szCs w:val="20"/>
        </w:rPr>
        <w:t xml:space="preserve"> replenishment rules on these dynamic costs.</w:t>
      </w:r>
      <w:r>
        <w:rPr>
          <w:rFonts w:ascii="Verdana" w:hAnsi="Verdana" w:cs="Verdana"/>
          <w:sz w:val="20"/>
          <w:szCs w:val="20"/>
        </w:rPr>
        <w:t xml:space="preserve"> </w:t>
      </w:r>
      <w:r w:rsidRPr="00B7137C">
        <w:rPr>
          <w:rFonts w:ascii="Verdana" w:hAnsi="Verdana" w:cs="Verdana"/>
          <w:sz w:val="20"/>
          <w:szCs w:val="20"/>
        </w:rPr>
        <w:t>We note that both the order</w:t>
      </w:r>
      <w:r>
        <w:rPr>
          <w:rFonts w:ascii="Verdana" w:hAnsi="Verdana" w:cs="Verdana"/>
          <w:sz w:val="20"/>
          <w:szCs w:val="20"/>
        </w:rPr>
        <w:t xml:space="preserve"> &amp;</w:t>
      </w:r>
      <w:r w:rsidRPr="00B7137C">
        <w:rPr>
          <w:rFonts w:ascii="Verdana" w:hAnsi="Verdana" w:cs="Verdana"/>
          <w:sz w:val="20"/>
          <w:szCs w:val="20"/>
        </w:rPr>
        <w:t xml:space="preserve"> the </w:t>
      </w:r>
      <w:r w:rsidRPr="00B7137C">
        <w:rPr>
          <w:rFonts w:ascii="Verdana" w:hAnsi="Verdana" w:cs="Verdana"/>
          <w:sz w:val="20"/>
          <w:szCs w:val="20"/>
        </w:rPr>
        <w:lastRenderedPageBreak/>
        <w:t>inventory variances are</w:t>
      </w:r>
      <w:r w:rsidR="00ED1BE5">
        <w:rPr>
          <w:rFonts w:ascii="Verdana" w:hAnsi="Verdana" w:cs="Verdana"/>
          <w:sz w:val="20"/>
          <w:szCs w:val="20"/>
        </w:rPr>
        <w:t xml:space="preserve"> much smaller for the UK supply. </w:t>
      </w:r>
      <w:r>
        <w:rPr>
          <w:rFonts w:ascii="Verdana" w:hAnsi="Verdana" w:cs="Verdana"/>
          <w:sz w:val="20"/>
          <w:szCs w:val="20"/>
        </w:rPr>
        <w:t xml:space="preserve">The inventory related costs are linear in the standard deviation of the net stock levels &amp; this is influenced by the lead-time. The inventory costs are also influenced by the value of the inventory, which is much higher for the UK supply than for the Chinese supply. </w:t>
      </w:r>
      <w:r w:rsidRPr="00B7137C">
        <w:rPr>
          <w:rFonts w:ascii="Verdana" w:hAnsi="Verdana" w:cs="Verdana"/>
          <w:sz w:val="20"/>
          <w:szCs w:val="20"/>
        </w:rPr>
        <w:t>However, the difference between the two scenarios in terms of inventory related costs is very small compared to the impact of the labour cost.</w:t>
      </w:r>
      <w:r>
        <w:rPr>
          <w:rFonts w:ascii="Verdana" w:hAnsi="Verdana" w:cs="Verdana"/>
          <w:sz w:val="20"/>
          <w:szCs w:val="20"/>
        </w:rPr>
        <w:t xml:space="preserve"> </w:t>
      </w:r>
      <w:r w:rsidRPr="00B7137C">
        <w:rPr>
          <w:rFonts w:ascii="Verdana" w:hAnsi="Verdana" w:cs="Verdana"/>
          <w:sz w:val="20"/>
          <w:szCs w:val="20"/>
        </w:rPr>
        <w:t xml:space="preserve">More interesting is the fact that, on the average, 70% more stock has to be held in the Beds For </w:t>
      </w:r>
      <w:r>
        <w:rPr>
          <w:rFonts w:ascii="Verdana" w:hAnsi="Verdana" w:cs="Verdana"/>
          <w:sz w:val="20"/>
          <w:szCs w:val="20"/>
        </w:rPr>
        <w:t>You</w:t>
      </w:r>
      <w:r w:rsidRPr="00B7137C">
        <w:rPr>
          <w:rFonts w:ascii="Verdana" w:hAnsi="Verdana" w:cs="Verdana"/>
          <w:sz w:val="20"/>
          <w:szCs w:val="20"/>
        </w:rPr>
        <w:t xml:space="preserve"> warehouse with Chinese supply when compared with UK supply.</w:t>
      </w:r>
      <w:r>
        <w:rPr>
          <w:rFonts w:ascii="Verdana" w:hAnsi="Verdana" w:cs="Verdana"/>
          <w:sz w:val="20"/>
          <w:szCs w:val="20"/>
        </w:rPr>
        <w:t xml:space="preserve"> </w:t>
      </w:r>
      <w:r w:rsidRPr="00B7137C">
        <w:rPr>
          <w:rFonts w:ascii="Verdana" w:hAnsi="Verdana" w:cs="Verdana"/>
          <w:sz w:val="20"/>
          <w:szCs w:val="20"/>
        </w:rPr>
        <w:t xml:space="preserve">This could have implications for warehouse requirements or product range offering in Beds </w:t>
      </w:r>
      <w:proofErr w:type="gramStart"/>
      <w:r w:rsidRPr="00B7137C">
        <w:rPr>
          <w:rFonts w:ascii="Verdana" w:hAnsi="Verdana" w:cs="Verdana"/>
          <w:sz w:val="20"/>
          <w:szCs w:val="20"/>
        </w:rPr>
        <w:t>For</w:t>
      </w:r>
      <w:proofErr w:type="gramEnd"/>
      <w:r w:rsidRPr="00B7137C">
        <w:rPr>
          <w:rFonts w:ascii="Verdana" w:hAnsi="Verdana" w:cs="Verdana"/>
          <w:sz w:val="20"/>
          <w:szCs w:val="20"/>
        </w:rPr>
        <w:t xml:space="preserve"> </w:t>
      </w:r>
      <w:r>
        <w:rPr>
          <w:rFonts w:ascii="Verdana" w:hAnsi="Verdana" w:cs="Verdana"/>
          <w:sz w:val="20"/>
          <w:szCs w:val="20"/>
        </w:rPr>
        <w:t>You</w:t>
      </w:r>
      <w:r w:rsidRPr="00B7137C">
        <w:rPr>
          <w:rFonts w:ascii="Verdana" w:hAnsi="Verdana" w:cs="Verdana"/>
          <w:sz w:val="20"/>
          <w:szCs w:val="20"/>
        </w:rPr>
        <w:t>.</w:t>
      </w:r>
      <w:r>
        <w:rPr>
          <w:rFonts w:ascii="Verdana" w:hAnsi="Verdana" w:cs="Verdana"/>
          <w:sz w:val="20"/>
          <w:szCs w:val="20"/>
        </w:rPr>
        <w:t xml:space="preserve"> </w:t>
      </w:r>
    </w:p>
    <w:p w:rsidR="00ED1BE5" w:rsidRPr="00B7137C" w:rsidRDefault="00ED1BE5" w:rsidP="00ED1BE5">
      <w:pPr>
        <w:spacing w:after="0"/>
        <w:jc w:val="both"/>
        <w:rPr>
          <w:rFonts w:ascii="Verdana" w:hAnsi="Verdana" w:cs="Verdana"/>
          <w:sz w:val="20"/>
          <w:szCs w:val="20"/>
        </w:rPr>
      </w:pPr>
    </w:p>
    <w:p w:rsidR="00454BC8" w:rsidRDefault="00454BC8" w:rsidP="00436C4E">
      <w:pPr>
        <w:spacing w:after="0"/>
        <w:rPr>
          <w:rFonts w:ascii="Verdana" w:hAnsi="Verdana" w:cs="Verdana"/>
          <w:b/>
          <w:bCs/>
        </w:rPr>
      </w:pPr>
      <w:r>
        <w:rPr>
          <w:rFonts w:ascii="Verdana" w:hAnsi="Verdana" w:cs="Verdana"/>
          <w:b/>
          <w:bCs/>
        </w:rPr>
        <w:t>CASE STUDY 2: INDUSTRIAL PRODUCTS (HIGH VALUE DENSITY)</w:t>
      </w:r>
    </w:p>
    <w:p w:rsidR="00454BC8" w:rsidRDefault="00454BC8" w:rsidP="003E102E">
      <w:pPr>
        <w:spacing w:line="280" w:lineRule="exact"/>
        <w:jc w:val="both"/>
        <w:rPr>
          <w:rFonts w:ascii="Verdana" w:hAnsi="Verdana" w:cs="Verdana"/>
          <w:sz w:val="20"/>
          <w:szCs w:val="20"/>
        </w:rPr>
      </w:pPr>
      <w:r w:rsidRPr="007974A9">
        <w:rPr>
          <w:rFonts w:ascii="Verdana" w:hAnsi="Verdana" w:cs="Verdana"/>
          <w:sz w:val="20"/>
          <w:szCs w:val="20"/>
        </w:rPr>
        <w:t>The Industrial P</w:t>
      </w:r>
      <w:r w:rsidR="00ED1BE5">
        <w:rPr>
          <w:rFonts w:ascii="Verdana" w:hAnsi="Verdana" w:cs="Verdana"/>
          <w:sz w:val="20"/>
          <w:szCs w:val="20"/>
        </w:rPr>
        <w:t>roducts Company has a UK supplier,</w:t>
      </w:r>
      <w:r>
        <w:rPr>
          <w:rFonts w:ascii="Verdana" w:hAnsi="Verdana" w:cs="Verdana"/>
          <w:sz w:val="20"/>
          <w:szCs w:val="20"/>
        </w:rPr>
        <w:t xml:space="preserve"> &amp;</w:t>
      </w:r>
      <w:r w:rsidRPr="007974A9">
        <w:rPr>
          <w:rFonts w:ascii="Verdana" w:hAnsi="Verdana" w:cs="Verdana"/>
          <w:sz w:val="20"/>
          <w:szCs w:val="20"/>
        </w:rPr>
        <w:t xml:space="preserve"> would like to explore the economics of outsourcing to China. Four representative products, from their broad product range, have been chosen for the purposes of comparison. </w:t>
      </w:r>
      <w:r>
        <w:rPr>
          <w:rFonts w:ascii="Verdana" w:hAnsi="Verdana" w:cs="Verdana"/>
          <w:sz w:val="20"/>
          <w:szCs w:val="20"/>
        </w:rPr>
        <w:t xml:space="preserve">The products are made from CNC machined components &amp; include an electric motor. Materials represent 70% of factory gate costs, &amp; these costs are unaltered by outsourcing to China. The remaining 30% of costs are labour costs, which are 37% lower in China, resulting in an overall 26% reduction in unit purchased costs. Selling prices are considerably higher, &amp; the sales margin includes the contribution to overheads &amp; profit. </w:t>
      </w:r>
    </w:p>
    <w:p w:rsidR="00454BC8" w:rsidRDefault="00454BC8" w:rsidP="003E102E">
      <w:pPr>
        <w:spacing w:line="280" w:lineRule="exact"/>
        <w:jc w:val="both"/>
        <w:rPr>
          <w:rFonts w:ascii="Verdana" w:hAnsi="Verdana" w:cs="Verdana"/>
          <w:sz w:val="20"/>
          <w:szCs w:val="20"/>
        </w:rPr>
      </w:pPr>
      <w:r w:rsidRPr="007974A9">
        <w:rPr>
          <w:rFonts w:ascii="Verdana" w:hAnsi="Verdana" w:cs="Verdana"/>
          <w:sz w:val="20"/>
          <w:szCs w:val="20"/>
        </w:rPr>
        <w:t xml:space="preserve">The individual products have much lower </w:t>
      </w:r>
      <w:r>
        <w:rPr>
          <w:rFonts w:ascii="Verdana" w:hAnsi="Verdana" w:cs="Verdana"/>
          <w:sz w:val="20"/>
          <w:szCs w:val="20"/>
        </w:rPr>
        <w:t xml:space="preserve">mean weekly </w:t>
      </w:r>
      <w:r w:rsidRPr="007974A9">
        <w:rPr>
          <w:rFonts w:ascii="Verdana" w:hAnsi="Verdana" w:cs="Verdana"/>
          <w:sz w:val="20"/>
          <w:szCs w:val="20"/>
        </w:rPr>
        <w:t>demand</w:t>
      </w:r>
      <w:r>
        <w:rPr>
          <w:rFonts w:ascii="Verdana" w:hAnsi="Verdana" w:cs="Verdana"/>
          <w:sz w:val="20"/>
          <w:szCs w:val="20"/>
        </w:rPr>
        <w:t xml:space="preserve"> than the beds</w:t>
      </w:r>
      <w:r w:rsidRPr="007974A9">
        <w:rPr>
          <w:rFonts w:ascii="Verdana" w:hAnsi="Verdana" w:cs="Verdana"/>
          <w:sz w:val="20"/>
          <w:szCs w:val="20"/>
        </w:rPr>
        <w:t>,</w:t>
      </w:r>
      <w:r>
        <w:rPr>
          <w:rFonts w:ascii="Verdana" w:hAnsi="Verdana" w:cs="Verdana"/>
          <w:sz w:val="20"/>
          <w:szCs w:val="20"/>
        </w:rPr>
        <w:t xml:space="preserve"> &amp;</w:t>
      </w:r>
      <w:r w:rsidRPr="007974A9">
        <w:rPr>
          <w:rFonts w:ascii="Verdana" w:hAnsi="Verdana" w:cs="Verdana"/>
          <w:sz w:val="20"/>
          <w:szCs w:val="20"/>
        </w:rPr>
        <w:t xml:space="preserve"> containers are filled with a variety of different products. </w:t>
      </w:r>
      <w:r>
        <w:rPr>
          <w:rFonts w:ascii="Verdana" w:hAnsi="Verdana" w:cs="Verdana"/>
          <w:sz w:val="20"/>
          <w:szCs w:val="20"/>
        </w:rPr>
        <w:t>The company uses standard 40ft contai</w:t>
      </w:r>
      <w:r w:rsidR="005E34B1">
        <w:rPr>
          <w:rFonts w:ascii="Verdana" w:hAnsi="Verdana" w:cs="Verdana"/>
          <w:sz w:val="20"/>
          <w:szCs w:val="20"/>
        </w:rPr>
        <w:t>ners which</w:t>
      </w:r>
      <w:r>
        <w:rPr>
          <w:rFonts w:ascii="Verdana" w:hAnsi="Verdana" w:cs="Verdana"/>
          <w:sz w:val="20"/>
          <w:szCs w:val="20"/>
        </w:rPr>
        <w:t xml:space="preserve"> are packed with a variety of different sized </w:t>
      </w:r>
      <w:proofErr w:type="gramStart"/>
      <w:r>
        <w:rPr>
          <w:rFonts w:ascii="Verdana" w:hAnsi="Verdana" w:cs="Verdana"/>
          <w:sz w:val="20"/>
          <w:szCs w:val="20"/>
        </w:rPr>
        <w:t>packages,</w:t>
      </w:r>
      <w:proofErr w:type="gramEnd"/>
      <w:r>
        <w:rPr>
          <w:rFonts w:ascii="Verdana" w:hAnsi="Verdana" w:cs="Verdana"/>
          <w:sz w:val="20"/>
          <w:szCs w:val="20"/>
        </w:rPr>
        <w:t xml:space="preserve"> the maximum container utilisation by volume is only 80%. Product size, volume &amp; associated transportation costs are shown in </w:t>
      </w:r>
      <w:r w:rsidR="000C740A">
        <w:t>2</w:t>
      </w:r>
      <w:r w:rsidRPr="008F1B5F">
        <w:rPr>
          <w:rFonts w:ascii="Verdana" w:hAnsi="Verdana" w:cs="Verdana"/>
          <w:sz w:val="20"/>
          <w:szCs w:val="20"/>
        </w:rPr>
        <w:t xml:space="preserve"> on</w:t>
      </w:r>
      <w:r>
        <w:rPr>
          <w:rFonts w:ascii="Verdana" w:hAnsi="Verdana" w:cs="Verdana"/>
          <w:sz w:val="20"/>
          <w:szCs w:val="20"/>
        </w:rPr>
        <w:t xml:space="preserve"> the basis of a China to UK container shipping cost of £3350. Products IP1, 2 &amp; 4 can be unloaded by hand, &amp; the unloading costs have been estimated on the basis of the average hourly rate, giving normal unloading costs of £0.8, £0.8 &amp; £0.4, with overtime rates at time &amp; a half. Product IP3 is heavy &amp; must be unloaded by fork-lift truck, giving normal unloading cost of £5, &amp; £7.50 in overtime.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87"/>
        <w:gridCol w:w="1080"/>
        <w:gridCol w:w="1800"/>
        <w:gridCol w:w="1980"/>
        <w:gridCol w:w="2340"/>
      </w:tblGrid>
      <w:tr w:rsidR="00454BC8">
        <w:trPr>
          <w:trHeight w:val="607"/>
        </w:trPr>
        <w:tc>
          <w:tcPr>
            <w:tcW w:w="1101"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Product</w:t>
            </w:r>
          </w:p>
        </w:tc>
        <w:tc>
          <w:tcPr>
            <w:tcW w:w="987"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Weight (Kg)</w:t>
            </w:r>
          </w:p>
        </w:tc>
        <w:tc>
          <w:tcPr>
            <w:tcW w:w="10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Volume (m</w:t>
            </w:r>
            <w:r w:rsidRPr="00324E87">
              <w:rPr>
                <w:rFonts w:ascii="Verdana" w:hAnsi="Verdana" w:cs="Verdana"/>
                <w:sz w:val="20"/>
                <w:szCs w:val="20"/>
                <w:vertAlign w:val="superscript"/>
              </w:rPr>
              <w:t>3</w:t>
            </w:r>
            <w:r w:rsidRPr="00324E87">
              <w:rPr>
                <w:rFonts w:ascii="Verdana" w:hAnsi="Verdana" w:cs="Verdana"/>
                <w:sz w:val="20"/>
                <w:szCs w:val="20"/>
              </w:rPr>
              <w:t>)</w:t>
            </w:r>
          </w:p>
        </w:tc>
        <w:tc>
          <w:tcPr>
            <w:tcW w:w="180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No. per</w:t>
            </w:r>
            <w:r>
              <w:rPr>
                <w:rFonts w:ascii="Verdana" w:hAnsi="Verdana" w:cs="Verdana"/>
                <w:sz w:val="20"/>
                <w:szCs w:val="20"/>
              </w:rPr>
              <w:t xml:space="preserve"> </w:t>
            </w:r>
            <w:r w:rsidRPr="00324E87">
              <w:rPr>
                <w:rFonts w:ascii="Verdana" w:hAnsi="Verdana" w:cs="Verdana"/>
                <w:sz w:val="20"/>
                <w:szCs w:val="20"/>
              </w:rPr>
              <w:t>payload</w:t>
            </w:r>
          </w:p>
        </w:tc>
        <w:tc>
          <w:tcPr>
            <w:tcW w:w="19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 xml:space="preserve">No. </w:t>
            </w:r>
            <w:r>
              <w:rPr>
                <w:rFonts w:ascii="Verdana" w:hAnsi="Verdana" w:cs="Verdana"/>
                <w:sz w:val="20"/>
                <w:szCs w:val="20"/>
              </w:rPr>
              <w:t xml:space="preserve">for </w:t>
            </w:r>
            <w:r w:rsidRPr="00324E87">
              <w:rPr>
                <w:rFonts w:ascii="Verdana" w:hAnsi="Verdana" w:cs="Verdana"/>
                <w:sz w:val="20"/>
                <w:szCs w:val="20"/>
              </w:rPr>
              <w:t xml:space="preserve">80% </w:t>
            </w:r>
            <w:r>
              <w:rPr>
                <w:rFonts w:ascii="Verdana" w:hAnsi="Verdana" w:cs="Verdana"/>
                <w:sz w:val="20"/>
                <w:szCs w:val="20"/>
              </w:rPr>
              <w:t>of the payload</w:t>
            </w:r>
          </w:p>
        </w:tc>
        <w:tc>
          <w:tcPr>
            <w:tcW w:w="234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Unit freight</w:t>
            </w:r>
            <w:r>
              <w:rPr>
                <w:rFonts w:ascii="Verdana" w:hAnsi="Verdana" w:cs="Verdana"/>
                <w:sz w:val="20"/>
                <w:szCs w:val="20"/>
              </w:rPr>
              <w:t xml:space="preserve"> c</w:t>
            </w:r>
            <w:r w:rsidRPr="00324E87">
              <w:rPr>
                <w:rFonts w:ascii="Verdana" w:hAnsi="Verdana" w:cs="Verdana"/>
                <w:sz w:val="20"/>
                <w:szCs w:val="20"/>
              </w:rPr>
              <w:t>osts (£)</w:t>
            </w:r>
          </w:p>
        </w:tc>
      </w:tr>
      <w:tr w:rsidR="00454BC8">
        <w:trPr>
          <w:trHeight w:val="302"/>
        </w:trPr>
        <w:tc>
          <w:tcPr>
            <w:tcW w:w="1101"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IP1</w:t>
            </w:r>
          </w:p>
        </w:tc>
        <w:tc>
          <w:tcPr>
            <w:tcW w:w="987"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30</w:t>
            </w:r>
          </w:p>
        </w:tc>
        <w:tc>
          <w:tcPr>
            <w:tcW w:w="10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0.046</w:t>
            </w:r>
          </w:p>
        </w:tc>
        <w:tc>
          <w:tcPr>
            <w:tcW w:w="180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886</w:t>
            </w:r>
          </w:p>
        </w:tc>
        <w:tc>
          <w:tcPr>
            <w:tcW w:w="19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1188</w:t>
            </w:r>
          </w:p>
        </w:tc>
        <w:tc>
          <w:tcPr>
            <w:tcW w:w="234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3.78</w:t>
            </w:r>
          </w:p>
        </w:tc>
      </w:tr>
      <w:tr w:rsidR="00454BC8">
        <w:trPr>
          <w:trHeight w:val="237"/>
        </w:trPr>
        <w:tc>
          <w:tcPr>
            <w:tcW w:w="1101"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IP2</w:t>
            </w:r>
          </w:p>
        </w:tc>
        <w:tc>
          <w:tcPr>
            <w:tcW w:w="987"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31</w:t>
            </w:r>
          </w:p>
        </w:tc>
        <w:tc>
          <w:tcPr>
            <w:tcW w:w="10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0.084</w:t>
            </w:r>
          </w:p>
        </w:tc>
        <w:tc>
          <w:tcPr>
            <w:tcW w:w="180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863</w:t>
            </w:r>
          </w:p>
        </w:tc>
        <w:tc>
          <w:tcPr>
            <w:tcW w:w="19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647</w:t>
            </w:r>
          </w:p>
        </w:tc>
        <w:tc>
          <w:tcPr>
            <w:tcW w:w="234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5.18</w:t>
            </w:r>
          </w:p>
        </w:tc>
      </w:tr>
      <w:tr w:rsidR="00454BC8">
        <w:tc>
          <w:tcPr>
            <w:tcW w:w="1101"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IP3</w:t>
            </w:r>
          </w:p>
        </w:tc>
        <w:tc>
          <w:tcPr>
            <w:tcW w:w="987"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54</w:t>
            </w:r>
          </w:p>
        </w:tc>
        <w:tc>
          <w:tcPr>
            <w:tcW w:w="10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0.166</w:t>
            </w:r>
          </w:p>
        </w:tc>
        <w:tc>
          <w:tcPr>
            <w:tcW w:w="180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497</w:t>
            </w:r>
          </w:p>
        </w:tc>
        <w:tc>
          <w:tcPr>
            <w:tcW w:w="19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326</w:t>
            </w:r>
          </w:p>
        </w:tc>
        <w:tc>
          <w:tcPr>
            <w:tcW w:w="234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10.27</w:t>
            </w:r>
          </w:p>
        </w:tc>
      </w:tr>
      <w:tr w:rsidR="00454BC8">
        <w:trPr>
          <w:trHeight w:val="237"/>
        </w:trPr>
        <w:tc>
          <w:tcPr>
            <w:tcW w:w="1101"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IP4</w:t>
            </w:r>
          </w:p>
        </w:tc>
        <w:tc>
          <w:tcPr>
            <w:tcW w:w="987"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6</w:t>
            </w:r>
          </w:p>
        </w:tc>
        <w:tc>
          <w:tcPr>
            <w:tcW w:w="10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0.005</w:t>
            </w:r>
          </w:p>
        </w:tc>
        <w:tc>
          <w:tcPr>
            <w:tcW w:w="180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4430</w:t>
            </w:r>
          </w:p>
        </w:tc>
        <w:tc>
          <w:tcPr>
            <w:tcW w:w="198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10786</w:t>
            </w:r>
          </w:p>
        </w:tc>
        <w:tc>
          <w:tcPr>
            <w:tcW w:w="2340" w:type="dxa"/>
            <w:vAlign w:val="center"/>
          </w:tcPr>
          <w:p w:rsidR="00454BC8" w:rsidRPr="00324E87" w:rsidRDefault="00454BC8" w:rsidP="000E107A">
            <w:pPr>
              <w:spacing w:after="0"/>
              <w:jc w:val="center"/>
              <w:rPr>
                <w:rFonts w:ascii="Verdana" w:hAnsi="Verdana" w:cs="Verdana"/>
                <w:sz w:val="20"/>
                <w:szCs w:val="20"/>
              </w:rPr>
            </w:pPr>
            <w:r w:rsidRPr="00324E87">
              <w:rPr>
                <w:rFonts w:ascii="Verdana" w:hAnsi="Verdana" w:cs="Verdana"/>
                <w:sz w:val="20"/>
                <w:szCs w:val="20"/>
              </w:rPr>
              <w:t>0.76</w:t>
            </w:r>
          </w:p>
        </w:tc>
      </w:tr>
    </w:tbl>
    <w:p w:rsidR="00454BC8" w:rsidRPr="008F1B5F" w:rsidRDefault="00454BC8" w:rsidP="008F1B5F">
      <w:pPr>
        <w:pStyle w:val="Caption"/>
        <w:jc w:val="center"/>
        <w:rPr>
          <w:rFonts w:ascii="Verdana" w:hAnsi="Verdana" w:cs="Verdana"/>
          <w:b w:val="0"/>
          <w:bCs w:val="0"/>
        </w:rPr>
      </w:pPr>
      <w:bookmarkStart w:id="6" w:name="_Ref356764855"/>
      <w:r w:rsidRPr="008F1B5F">
        <w:rPr>
          <w:rFonts w:ascii="Verdana" w:hAnsi="Verdana" w:cs="Verdana"/>
          <w:b w:val="0"/>
          <w:bCs w:val="0"/>
        </w:rPr>
        <w:t xml:space="preserve">Table </w:t>
      </w:r>
      <w:r w:rsidRPr="008F1B5F">
        <w:rPr>
          <w:rFonts w:ascii="Verdana" w:hAnsi="Verdana" w:cs="Verdana"/>
          <w:b w:val="0"/>
          <w:bCs w:val="0"/>
        </w:rPr>
        <w:fldChar w:fldCharType="begin"/>
      </w:r>
      <w:r w:rsidRPr="008F1B5F">
        <w:rPr>
          <w:rFonts w:ascii="Verdana" w:hAnsi="Verdana" w:cs="Verdana"/>
          <w:b w:val="0"/>
          <w:bCs w:val="0"/>
        </w:rPr>
        <w:instrText xml:space="preserve"> SEQ Table \* ARABIC </w:instrText>
      </w:r>
      <w:r w:rsidRPr="008F1B5F">
        <w:rPr>
          <w:rFonts w:ascii="Verdana" w:hAnsi="Verdana" w:cs="Verdana"/>
          <w:b w:val="0"/>
          <w:bCs w:val="0"/>
        </w:rPr>
        <w:fldChar w:fldCharType="separate"/>
      </w:r>
      <w:r>
        <w:rPr>
          <w:rFonts w:ascii="Verdana" w:hAnsi="Verdana" w:cs="Verdana"/>
          <w:b w:val="0"/>
          <w:bCs w:val="0"/>
          <w:noProof/>
        </w:rPr>
        <w:t>2</w:t>
      </w:r>
      <w:r w:rsidRPr="008F1B5F">
        <w:rPr>
          <w:rFonts w:ascii="Verdana" w:hAnsi="Verdana" w:cs="Verdana"/>
          <w:b w:val="0"/>
          <w:bCs w:val="0"/>
        </w:rPr>
        <w:fldChar w:fldCharType="end"/>
      </w:r>
      <w:bookmarkEnd w:id="6"/>
      <w:r w:rsidRPr="008F1B5F">
        <w:rPr>
          <w:rFonts w:ascii="Verdana" w:hAnsi="Verdana" w:cs="Verdana"/>
          <w:b w:val="0"/>
          <w:bCs w:val="0"/>
        </w:rPr>
        <w:t>. Shipping characteristics for Industrial Products</w:t>
      </w:r>
    </w:p>
    <w:p w:rsidR="00454BC8" w:rsidRDefault="00454BC8" w:rsidP="00436C4E">
      <w:pPr>
        <w:spacing w:after="0"/>
        <w:rPr>
          <w:rFonts w:ascii="Verdana" w:hAnsi="Verdana" w:cs="Verdana"/>
          <w:b/>
          <w:bCs/>
          <w:sz w:val="20"/>
          <w:szCs w:val="20"/>
        </w:rPr>
      </w:pPr>
    </w:p>
    <w:p w:rsidR="00454BC8" w:rsidRDefault="00454BC8" w:rsidP="00436C4E">
      <w:pPr>
        <w:spacing w:after="0"/>
        <w:rPr>
          <w:rFonts w:ascii="Verdana" w:hAnsi="Verdana" w:cs="Verdana"/>
          <w:b/>
          <w:bCs/>
          <w:sz w:val="20"/>
          <w:szCs w:val="20"/>
        </w:rPr>
      </w:pPr>
      <w:r>
        <w:rPr>
          <w:rFonts w:ascii="Verdana" w:hAnsi="Verdana" w:cs="Verdana"/>
          <w:b/>
          <w:bCs/>
          <w:sz w:val="20"/>
          <w:szCs w:val="20"/>
        </w:rPr>
        <w:t xml:space="preserve">NUMERICAL </w:t>
      </w:r>
      <w:r w:rsidRPr="00D268AB">
        <w:rPr>
          <w:rFonts w:ascii="Verdana" w:hAnsi="Verdana" w:cs="Verdana"/>
          <w:b/>
          <w:bCs/>
          <w:sz w:val="20"/>
          <w:szCs w:val="20"/>
        </w:rPr>
        <w:t>ANALYSIS</w:t>
      </w:r>
    </w:p>
    <w:p w:rsidR="00454BC8" w:rsidRPr="00A010F8" w:rsidRDefault="00454BC8" w:rsidP="00435A89">
      <w:pPr>
        <w:spacing w:after="0"/>
        <w:jc w:val="both"/>
        <w:rPr>
          <w:rFonts w:ascii="Verdana" w:hAnsi="Verdana" w:cs="Verdana"/>
          <w:sz w:val="20"/>
          <w:szCs w:val="20"/>
        </w:rPr>
      </w:pPr>
      <w:r>
        <w:rPr>
          <w:rFonts w:ascii="Verdana" w:hAnsi="Verdana" w:cs="Verdana"/>
          <w:sz w:val="20"/>
          <w:szCs w:val="20"/>
        </w:rPr>
        <w:t xml:space="preserve">We have calculated the following cost comparisons shown in </w:t>
      </w:r>
      <w:r w:rsidR="005A676E">
        <w:fldChar w:fldCharType="begin"/>
      </w:r>
      <w:r w:rsidR="005A676E">
        <w:instrText xml:space="preserve"> REF _Ref356765375 \h  \* MERGEFORMAT </w:instrText>
      </w:r>
      <w:r w:rsidR="005A676E">
        <w:fldChar w:fldCharType="separate"/>
      </w:r>
      <w:r w:rsidRPr="00840247">
        <w:rPr>
          <w:rFonts w:ascii="Verdana" w:hAnsi="Verdana" w:cs="Verdana"/>
          <w:sz w:val="20"/>
          <w:szCs w:val="20"/>
        </w:rPr>
        <w:t>Table 4</w:t>
      </w:r>
      <w:r w:rsidR="005A676E">
        <w:fldChar w:fldCharType="end"/>
      </w:r>
      <w:r w:rsidRPr="00840247">
        <w:rPr>
          <w:rFonts w:ascii="Verdana" w:hAnsi="Verdana" w:cs="Verdana"/>
          <w:sz w:val="20"/>
          <w:szCs w:val="20"/>
        </w:rPr>
        <w:t>.</w:t>
      </w:r>
    </w:p>
    <w:p w:rsidR="00454BC8" w:rsidRPr="006A57FF" w:rsidRDefault="00454BC8" w:rsidP="00436C4E">
      <w:pPr>
        <w:spacing w:after="0"/>
        <w:rPr>
          <w:rFonts w:ascii="Verdana" w:hAnsi="Verdana" w:cs="Verdana"/>
          <w:b/>
          <w:bCs/>
          <w:sz w:val="14"/>
          <w:szCs w:val="1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850"/>
        <w:gridCol w:w="830"/>
        <w:gridCol w:w="729"/>
        <w:gridCol w:w="803"/>
        <w:gridCol w:w="727"/>
        <w:gridCol w:w="727"/>
        <w:gridCol w:w="727"/>
        <w:gridCol w:w="727"/>
        <w:gridCol w:w="727"/>
        <w:gridCol w:w="800"/>
      </w:tblGrid>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Company</w:t>
            </w:r>
          </w:p>
        </w:tc>
        <w:tc>
          <w:tcPr>
            <w:tcW w:w="1680" w:type="dxa"/>
            <w:gridSpan w:val="2"/>
            <w:vAlign w:val="bottom"/>
          </w:tcPr>
          <w:p w:rsidR="00454BC8" w:rsidRPr="006A57FF" w:rsidRDefault="00454BC8" w:rsidP="0099022D">
            <w:pPr>
              <w:spacing w:after="0" w:line="240" w:lineRule="auto"/>
              <w:jc w:val="center"/>
              <w:rPr>
                <w:rFonts w:ascii="Verdana" w:hAnsi="Verdana" w:cs="Verdana"/>
                <w:color w:val="FF0000"/>
                <w:sz w:val="14"/>
                <w:szCs w:val="14"/>
              </w:rPr>
            </w:pPr>
            <w:r>
              <w:rPr>
                <w:rFonts w:ascii="Verdana" w:hAnsi="Verdana" w:cs="Verdana"/>
                <w:color w:val="000000"/>
                <w:sz w:val="14"/>
                <w:szCs w:val="14"/>
              </w:rPr>
              <w:t>Beds For You</w:t>
            </w:r>
          </w:p>
        </w:tc>
        <w:tc>
          <w:tcPr>
            <w:tcW w:w="5967" w:type="dxa"/>
            <w:gridSpan w:val="8"/>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Industrial Products Co.</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Product</w:t>
            </w:r>
          </w:p>
        </w:tc>
        <w:tc>
          <w:tcPr>
            <w:tcW w:w="1680" w:type="dxa"/>
            <w:gridSpan w:val="2"/>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Double Bed</w:t>
            </w:r>
          </w:p>
        </w:tc>
        <w:tc>
          <w:tcPr>
            <w:tcW w:w="1532" w:type="dxa"/>
            <w:gridSpan w:val="2"/>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IP1</w:t>
            </w:r>
          </w:p>
        </w:tc>
        <w:tc>
          <w:tcPr>
            <w:tcW w:w="1454" w:type="dxa"/>
            <w:gridSpan w:val="2"/>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IP2</w:t>
            </w:r>
          </w:p>
        </w:tc>
        <w:tc>
          <w:tcPr>
            <w:tcW w:w="1454" w:type="dxa"/>
            <w:gridSpan w:val="2"/>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IP3</w:t>
            </w:r>
          </w:p>
        </w:tc>
        <w:tc>
          <w:tcPr>
            <w:tcW w:w="1527" w:type="dxa"/>
            <w:gridSpan w:val="2"/>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IP4</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Country of manufacture</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UK</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China</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UK</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China</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UK</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China</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UK</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China</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UK</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China</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Unit purchase cost (£)</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30.00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9.00</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780.50</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579.80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2,103.00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1,562.23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6,455.50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4,795.52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1,704.50</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1,266.20</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Unit freight charges (£)</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9.62</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0.00</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3.78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0.00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0.00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10.27</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0.00</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0.76</w:t>
            </w:r>
          </w:p>
        </w:tc>
      </w:tr>
      <w:tr w:rsidR="00454BC8" w:rsidRPr="006A57FF">
        <w:tc>
          <w:tcPr>
            <w:tcW w:w="1668"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Landed cost</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17.24</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780.50</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583.58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2103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1567</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6455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4805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1704</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1267</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Percentage change in landed costs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p>
        </w:tc>
        <w:tc>
          <w:tcPr>
            <w:tcW w:w="83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-43%</w:t>
            </w:r>
          </w:p>
        </w:tc>
        <w:tc>
          <w:tcPr>
            <w:tcW w:w="729"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3"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-25%</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-25%</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-26%</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-26%</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Average number of units in pipeline</w:t>
            </w:r>
          </w:p>
        </w:tc>
        <w:tc>
          <w:tcPr>
            <w:tcW w:w="85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43200</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64</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256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208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28</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112</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Value of goods in </w:t>
            </w:r>
            <w:r w:rsidRPr="006A57FF">
              <w:rPr>
                <w:rFonts w:ascii="Verdana" w:hAnsi="Verdana" w:cs="Verdana"/>
                <w:color w:val="000000"/>
                <w:sz w:val="14"/>
                <w:szCs w:val="14"/>
              </w:rPr>
              <w:lastRenderedPageBreak/>
              <w:t>pipeline (£)</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lastRenderedPageBreak/>
              <w:t>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388800</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49952</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148429</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10935</w:t>
            </w:r>
            <w:r w:rsidRPr="006A57FF">
              <w:rPr>
                <w:rFonts w:ascii="Verdana" w:hAnsi="Verdana" w:cs="Verdana"/>
                <w:color w:val="000000"/>
                <w:sz w:val="14"/>
                <w:szCs w:val="14"/>
              </w:rPr>
              <w:lastRenderedPageBreak/>
              <w:t>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lastRenderedPageBreak/>
              <w:t>32494</w:t>
            </w:r>
            <w:r w:rsidRPr="006A57FF">
              <w:rPr>
                <w:rFonts w:ascii="Verdana" w:hAnsi="Verdana" w:cs="Verdana"/>
                <w:color w:val="000000"/>
                <w:sz w:val="14"/>
                <w:szCs w:val="14"/>
              </w:rPr>
              <w:lastRenderedPageBreak/>
              <w:t>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lastRenderedPageBreak/>
              <w:t>10328</w:t>
            </w:r>
            <w:r w:rsidRPr="006A57FF">
              <w:rPr>
                <w:rFonts w:ascii="Verdana" w:hAnsi="Verdana" w:cs="Verdana"/>
                <w:color w:val="000000"/>
                <w:sz w:val="14"/>
                <w:szCs w:val="14"/>
              </w:rPr>
              <w:lastRenderedPageBreak/>
              <w:t>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lastRenderedPageBreak/>
              <w:t>30691</w:t>
            </w:r>
            <w:r w:rsidRPr="006A57FF">
              <w:rPr>
                <w:rFonts w:ascii="Verdana" w:hAnsi="Verdana" w:cs="Verdana"/>
                <w:color w:val="000000"/>
                <w:sz w:val="14"/>
                <w:szCs w:val="14"/>
              </w:rPr>
              <w:lastRenderedPageBreak/>
              <w:t>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lastRenderedPageBreak/>
              <w:t>47726</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141814</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lastRenderedPageBreak/>
              <w:t>Cost of pipeline inventory per week (£)</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1944</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250</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742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547</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1625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1535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239</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709</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Pipeline cost per unit (£)</w:t>
            </w:r>
          </w:p>
        </w:tc>
        <w:tc>
          <w:tcPr>
            <w:tcW w:w="85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0.00</w:t>
            </w:r>
          </w:p>
        </w:tc>
        <w:tc>
          <w:tcPr>
            <w:tcW w:w="83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0.36</w:t>
            </w:r>
          </w:p>
        </w:tc>
        <w:tc>
          <w:tcPr>
            <w:tcW w:w="729"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7.81</w:t>
            </w:r>
          </w:p>
        </w:tc>
        <w:tc>
          <w:tcPr>
            <w:tcW w:w="803"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23.19</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21.0</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62.5</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64.6</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191</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17.0</w:t>
            </w:r>
          </w:p>
        </w:tc>
        <w:tc>
          <w:tcPr>
            <w:tcW w:w="80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50.65</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Normal unloading costs, </w:t>
            </w:r>
            <w:r w:rsidRPr="006A57FF">
              <w:rPr>
                <w:rFonts w:ascii="Verdana" w:hAnsi="Verdana" w:cs="Verdana"/>
                <w:i/>
                <w:iCs/>
                <w:color w:val="000000"/>
                <w:sz w:val="14"/>
                <w:szCs w:val="14"/>
              </w:rPr>
              <w:t>U</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0.25</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0.8</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0.4</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0.4</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Overtime unloading costs, </w:t>
            </w:r>
            <w:r w:rsidRPr="006A57FF">
              <w:rPr>
                <w:rFonts w:ascii="Verdana" w:hAnsi="Verdana" w:cs="Verdana"/>
                <w:i/>
                <w:iCs/>
                <w:color w:val="000000"/>
                <w:sz w:val="14"/>
                <w:szCs w:val="14"/>
              </w:rPr>
              <w:t>W</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0.375</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2.25</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0.6</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0.6</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Order standard deviation, </w:t>
            </w:r>
            <w:proofErr w:type="spellStart"/>
            <w:r w:rsidRPr="006A57FF">
              <w:rPr>
                <w:rFonts w:ascii="Verdana" w:hAnsi="Verdana" w:cs="Verdana"/>
                <w:i/>
                <w:iCs/>
                <w:color w:val="000000"/>
                <w:sz w:val="14"/>
                <w:szCs w:val="14"/>
              </w:rPr>
              <w:t>σ</w:t>
            </w:r>
            <w:r w:rsidRPr="006A57FF">
              <w:rPr>
                <w:rFonts w:ascii="Verdana" w:hAnsi="Verdana" w:cs="Verdana"/>
                <w:i/>
                <w:iCs/>
                <w:color w:val="000000"/>
                <w:sz w:val="14"/>
                <w:szCs w:val="14"/>
                <w:vertAlign w:val="subscript"/>
              </w:rPr>
              <w:t>o</w:t>
            </w:r>
            <w:proofErr w:type="spellEnd"/>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561</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810</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17.79</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17.85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12.65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12.65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14.28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14.34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12.35</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12.36</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Slack capacity at warehouse, </w:t>
            </w:r>
            <w:r w:rsidRPr="006A57FF">
              <w:rPr>
                <w:rFonts w:ascii="Verdana" w:hAnsi="Verdana" w:cs="Verdana"/>
                <w:i/>
                <w:iCs/>
                <w:color w:val="000000"/>
                <w:sz w:val="14"/>
                <w:szCs w:val="14"/>
              </w:rPr>
              <w: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-241</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-349</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-7.66</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-7.69</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-5.45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-5.45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-6.15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-6.18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-5.32</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-5.32</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Weekly capacity required, </w:t>
            </w:r>
            <w:r w:rsidRPr="006A57FF">
              <w:rPr>
                <w:rFonts w:ascii="Verdana" w:hAnsi="Verdana" w:cs="Verdana"/>
                <w:i/>
                <w:iCs/>
                <w:color w:val="000000"/>
                <w:sz w:val="14"/>
                <w:szCs w:val="14"/>
              </w:rPr>
              <w:t>S*+µ</w:t>
            </w:r>
            <w:r w:rsidRPr="006A57FF">
              <w:rPr>
                <w:rFonts w:ascii="Verdana" w:hAnsi="Verdana" w:cs="Verdana"/>
                <w:i/>
                <w:iCs/>
                <w:color w:val="000000"/>
                <w:sz w:val="14"/>
                <w:szCs w:val="14"/>
                <w:vertAlign w:val="subscript"/>
              </w:rPr>
              <w:t>d</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5159</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5051</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24.34</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24.31</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20.55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20.55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1.85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1.82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8.68</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8.68</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Unloading (labour) costs per week, </w:t>
            </w:r>
            <w:r w:rsidRPr="006A57FF">
              <w:rPr>
                <w:rFonts w:ascii="Verdana" w:hAnsi="Verdana" w:cs="Verdana"/>
                <w:i/>
                <w:iCs/>
                <w:color w:val="000000"/>
                <w:sz w:val="14"/>
                <w:szCs w:val="14"/>
              </w:rPr>
              <w:t>C</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1426.43</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8762.54</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33.36</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33.39</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26.32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26.32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78.93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79.10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8.29</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8.30</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Unit unloading cost</w:t>
            </w:r>
          </w:p>
        </w:tc>
        <w:tc>
          <w:tcPr>
            <w:tcW w:w="85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0.26</w:t>
            </w:r>
          </w:p>
        </w:tc>
        <w:tc>
          <w:tcPr>
            <w:tcW w:w="83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1.62</w:t>
            </w:r>
          </w:p>
        </w:tc>
        <w:tc>
          <w:tcPr>
            <w:tcW w:w="729"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1.04</w:t>
            </w:r>
          </w:p>
        </w:tc>
        <w:tc>
          <w:tcPr>
            <w:tcW w:w="803"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1.04</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1.01</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1.01</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9.87</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9.89</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0.59</w:t>
            </w:r>
          </w:p>
        </w:tc>
        <w:tc>
          <w:tcPr>
            <w:tcW w:w="80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0.59</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Percentage change in unloading costs</w:t>
            </w:r>
          </w:p>
        </w:tc>
        <w:tc>
          <w:tcPr>
            <w:tcW w:w="85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3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514%</w:t>
            </w:r>
          </w:p>
        </w:tc>
        <w:tc>
          <w:tcPr>
            <w:tcW w:w="729"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3"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0%</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0%</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0%</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0%</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Net stock standard deviation, </w:t>
            </w:r>
            <w:proofErr w:type="spellStart"/>
            <w:r w:rsidRPr="006A57FF">
              <w:rPr>
                <w:rFonts w:ascii="Verdana" w:hAnsi="Verdana" w:cs="Verdana"/>
                <w:i/>
                <w:iCs/>
                <w:color w:val="000000"/>
                <w:sz w:val="14"/>
                <w:szCs w:val="14"/>
              </w:rPr>
              <w:t>σ</w:t>
            </w:r>
            <w:r w:rsidRPr="006A57FF">
              <w:rPr>
                <w:rFonts w:ascii="Verdana" w:hAnsi="Verdana" w:cs="Verdana"/>
                <w:i/>
                <w:iCs/>
                <w:color w:val="000000"/>
                <w:sz w:val="14"/>
                <w:szCs w:val="14"/>
                <w:vertAlign w:val="subscript"/>
              </w:rPr>
              <w:t>NS</w:t>
            </w:r>
            <w:proofErr w:type="spellEnd"/>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493</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1951</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27.84</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51.81</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22.05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38.02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22.16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41.50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22.53</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37.73</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Unit cost</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30.26</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20.60</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789</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608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2125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1631</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6530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5007</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1722</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1318</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Inventory holding cost, </w:t>
            </w:r>
            <w:r w:rsidRPr="006A57FF">
              <w:rPr>
                <w:rFonts w:ascii="Verdana" w:hAnsi="Verdana" w:cs="Verdana"/>
                <w:i/>
                <w:iCs/>
                <w:color w:val="000000"/>
                <w:sz w:val="14"/>
                <w:szCs w:val="14"/>
              </w:rPr>
              <w:t>H</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0.15</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0.01</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3.95</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3.04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10.63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8.15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32.65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25.04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8.61</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6.59</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Backlog costs, </w:t>
            </w:r>
            <w:r w:rsidRPr="006A57FF">
              <w:rPr>
                <w:rFonts w:ascii="Verdana" w:hAnsi="Verdana" w:cs="Verdana"/>
                <w:i/>
                <w:iCs/>
                <w:color w:val="000000"/>
                <w:sz w:val="14"/>
                <w:szCs w:val="14"/>
              </w:rPr>
              <w:t>B</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2.88</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0.20</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75</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202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620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476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164</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125</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Safety stock at warehouse, </w:t>
            </w:r>
            <w:r w:rsidRPr="006A57FF">
              <w:rPr>
                <w:rFonts w:ascii="Verdana" w:hAnsi="Verdana" w:cs="Verdana"/>
                <w:i/>
                <w:iCs/>
                <w:color w:val="000000"/>
                <w:sz w:val="14"/>
                <w:szCs w:val="14"/>
              </w:rPr>
              <w:t>TNS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811</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3209</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46</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37</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62</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Average stock in warehouse, </w:t>
            </w:r>
            <w:r w:rsidRPr="006A57FF">
              <w:rPr>
                <w:rFonts w:ascii="Verdana" w:hAnsi="Verdana" w:cs="Verdana"/>
                <w:i/>
                <w:iCs/>
                <w:color w:val="000000"/>
                <w:sz w:val="14"/>
                <w:szCs w:val="14"/>
              </w:rPr>
              <w:t>TNS+µ/2</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3511</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5909</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62</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101</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49</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44</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69</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 xml:space="preserve">Inventory costs per week, </w:t>
            </w:r>
            <w:r w:rsidRPr="006A57FF">
              <w:rPr>
                <w:rFonts w:ascii="Verdana" w:hAnsi="Verdana" w:cs="Verdana"/>
                <w:i/>
                <w:iCs/>
                <w:color w:val="000000"/>
                <w:sz w:val="14"/>
                <w:szCs w:val="14"/>
              </w:rPr>
              <w:t>I</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154</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41.45</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227</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325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483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640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1492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2143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400</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513</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Inventory cost per unit</w:t>
            </w:r>
          </w:p>
        </w:tc>
        <w:tc>
          <w:tcPr>
            <w:tcW w:w="85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0.03</w:t>
            </w:r>
          </w:p>
        </w:tc>
        <w:tc>
          <w:tcPr>
            <w:tcW w:w="83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0.01</w:t>
            </w:r>
          </w:p>
        </w:tc>
        <w:tc>
          <w:tcPr>
            <w:tcW w:w="729"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7.08</w:t>
            </w:r>
          </w:p>
        </w:tc>
        <w:tc>
          <w:tcPr>
            <w:tcW w:w="803"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10.15</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18.6</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24.6</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187</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268</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29</w:t>
            </w:r>
          </w:p>
        </w:tc>
        <w:tc>
          <w:tcPr>
            <w:tcW w:w="80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37</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Percentage change in inventory costs</w:t>
            </w:r>
          </w:p>
        </w:tc>
        <w:tc>
          <w:tcPr>
            <w:tcW w:w="85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3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-75%</w:t>
            </w:r>
          </w:p>
        </w:tc>
        <w:tc>
          <w:tcPr>
            <w:tcW w:w="729"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3"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43%</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32%</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44%</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28%</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Weekly landed costs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162000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93096</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24976</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18675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54678</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40753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51644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38446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23863</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17737</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Weekly pipeline costs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1944</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250</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742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547</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1625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516</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1535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239</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709</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Weekly unloading costs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1426</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8763</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33.36</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33.39</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26.32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26.32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78.93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79.10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8.29</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8.30</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Weekly inventory costs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154</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41.45</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227</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325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483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640</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1492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2143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400</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513</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Total weekly costs</w:t>
            </w:r>
          </w:p>
        </w:tc>
        <w:tc>
          <w:tcPr>
            <w:tcW w:w="85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163580</w:t>
            </w:r>
          </w:p>
        </w:tc>
        <w:tc>
          <w:tcPr>
            <w:tcW w:w="83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111,296</w:t>
            </w:r>
          </w:p>
        </w:tc>
        <w:tc>
          <w:tcPr>
            <w:tcW w:w="729"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25486</w:t>
            </w:r>
          </w:p>
        </w:tc>
        <w:tc>
          <w:tcPr>
            <w:tcW w:w="803"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19775</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55734</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43043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53732</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42203</w:t>
            </w:r>
          </w:p>
        </w:tc>
        <w:tc>
          <w:tcPr>
            <w:tcW w:w="727"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24510</w:t>
            </w:r>
          </w:p>
        </w:tc>
        <w:tc>
          <w:tcPr>
            <w:tcW w:w="800" w:type="dxa"/>
            <w:vAlign w:val="center"/>
          </w:tcPr>
          <w:p w:rsidR="00454BC8" w:rsidRPr="006A57FF" w:rsidRDefault="00454BC8" w:rsidP="0099022D">
            <w:pPr>
              <w:spacing w:after="0" w:line="240" w:lineRule="auto"/>
              <w:jc w:val="center"/>
              <w:rPr>
                <w:rFonts w:ascii="Verdana" w:hAnsi="Verdana" w:cs="Verdana"/>
                <w:color w:val="000000"/>
                <w:sz w:val="14"/>
                <w:szCs w:val="14"/>
              </w:rPr>
            </w:pPr>
            <w:r w:rsidRPr="006A57FF">
              <w:rPr>
                <w:rFonts w:ascii="Verdana" w:hAnsi="Verdana" w:cs="Verdana"/>
                <w:color w:val="000000"/>
                <w:sz w:val="14"/>
                <w:szCs w:val="14"/>
              </w:rPr>
              <w:t>18968</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Total cost per unit</w:t>
            </w:r>
          </w:p>
        </w:tc>
        <w:tc>
          <w:tcPr>
            <w:tcW w:w="85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30.29</w:t>
            </w:r>
          </w:p>
        </w:tc>
        <w:tc>
          <w:tcPr>
            <w:tcW w:w="83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20.6</w:t>
            </w:r>
          </w:p>
        </w:tc>
        <w:tc>
          <w:tcPr>
            <w:tcW w:w="729"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Pr>
                <w:rFonts w:ascii="Verdana" w:hAnsi="Verdana" w:cs="Verdana"/>
                <w:b/>
                <w:bCs/>
                <w:color w:val="000000"/>
                <w:sz w:val="14"/>
                <w:szCs w:val="14"/>
              </w:rPr>
              <w:t>796</w:t>
            </w:r>
          </w:p>
        </w:tc>
        <w:tc>
          <w:tcPr>
            <w:tcW w:w="803"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618</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2143</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1655</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6716</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5275</w:t>
            </w:r>
          </w:p>
        </w:tc>
        <w:tc>
          <w:tcPr>
            <w:tcW w:w="727"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1751</w:t>
            </w:r>
          </w:p>
        </w:tc>
        <w:tc>
          <w:tcPr>
            <w:tcW w:w="800" w:type="dxa"/>
            <w:vAlign w:val="center"/>
          </w:tcPr>
          <w:p w:rsidR="00454BC8" w:rsidRPr="006A57FF" w:rsidRDefault="00454BC8" w:rsidP="0099022D">
            <w:pPr>
              <w:spacing w:after="0" w:line="240" w:lineRule="auto"/>
              <w:jc w:val="center"/>
              <w:rPr>
                <w:rFonts w:ascii="Verdana" w:hAnsi="Verdana" w:cs="Verdana"/>
                <w:b/>
                <w:bCs/>
                <w:color w:val="000000"/>
                <w:sz w:val="14"/>
                <w:szCs w:val="14"/>
              </w:rPr>
            </w:pPr>
            <w:r w:rsidRPr="006A57FF">
              <w:rPr>
                <w:rFonts w:ascii="Verdana" w:hAnsi="Verdana" w:cs="Verdana"/>
                <w:b/>
                <w:bCs/>
                <w:color w:val="000000"/>
                <w:sz w:val="14"/>
                <w:szCs w:val="14"/>
              </w:rPr>
              <w:t>1355</w:t>
            </w:r>
          </w:p>
        </w:tc>
      </w:tr>
      <w:tr w:rsidR="00454BC8" w:rsidRPr="006A57FF">
        <w:tc>
          <w:tcPr>
            <w:tcW w:w="1668" w:type="dxa"/>
            <w:vAlign w:val="bottom"/>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Percentage change</w:t>
            </w:r>
          </w:p>
        </w:tc>
        <w:tc>
          <w:tcPr>
            <w:tcW w:w="85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3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-32%</w:t>
            </w:r>
          </w:p>
        </w:tc>
        <w:tc>
          <w:tcPr>
            <w:tcW w:w="729"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3"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-22%</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-23%</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-21%</w:t>
            </w:r>
          </w:p>
        </w:tc>
        <w:tc>
          <w:tcPr>
            <w:tcW w:w="727"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p>
        </w:tc>
        <w:tc>
          <w:tcPr>
            <w:tcW w:w="800" w:type="dxa"/>
            <w:vAlign w:val="center"/>
          </w:tcPr>
          <w:p w:rsidR="00454BC8" w:rsidRPr="006A57FF" w:rsidRDefault="00454BC8" w:rsidP="0099022D">
            <w:pPr>
              <w:spacing w:after="0" w:line="240" w:lineRule="auto"/>
              <w:jc w:val="center"/>
              <w:rPr>
                <w:rFonts w:ascii="Verdana" w:hAnsi="Verdana" w:cs="Verdana"/>
                <w:i/>
                <w:iCs/>
                <w:color w:val="000000"/>
                <w:sz w:val="14"/>
                <w:szCs w:val="14"/>
              </w:rPr>
            </w:pPr>
            <w:r w:rsidRPr="006A57FF">
              <w:rPr>
                <w:rFonts w:ascii="Verdana" w:hAnsi="Verdana" w:cs="Verdana"/>
                <w:i/>
                <w:iCs/>
                <w:color w:val="000000"/>
                <w:sz w:val="14"/>
                <w:szCs w:val="14"/>
              </w:rPr>
              <w:t>-23%</w:t>
            </w:r>
          </w:p>
        </w:tc>
      </w:tr>
    </w:tbl>
    <w:p w:rsidR="00454BC8" w:rsidRPr="00840247" w:rsidRDefault="00454BC8" w:rsidP="00840247">
      <w:pPr>
        <w:pStyle w:val="Caption"/>
        <w:jc w:val="center"/>
        <w:rPr>
          <w:rFonts w:ascii="Verdana" w:hAnsi="Verdana" w:cs="Verdana"/>
          <w:b w:val="0"/>
          <w:bCs w:val="0"/>
        </w:rPr>
      </w:pPr>
      <w:bookmarkStart w:id="7" w:name="_Ref356765375"/>
      <w:r w:rsidRPr="00840247">
        <w:rPr>
          <w:rFonts w:ascii="Verdana" w:hAnsi="Verdana" w:cs="Verdana"/>
          <w:b w:val="0"/>
          <w:bCs w:val="0"/>
        </w:rPr>
        <w:t xml:space="preserve">Table </w:t>
      </w:r>
      <w:r w:rsidRPr="00840247">
        <w:rPr>
          <w:rFonts w:ascii="Verdana" w:hAnsi="Verdana" w:cs="Verdana"/>
          <w:b w:val="0"/>
          <w:bCs w:val="0"/>
        </w:rPr>
        <w:fldChar w:fldCharType="begin"/>
      </w:r>
      <w:r w:rsidRPr="00840247">
        <w:rPr>
          <w:rFonts w:ascii="Verdana" w:hAnsi="Verdana" w:cs="Verdana"/>
          <w:b w:val="0"/>
          <w:bCs w:val="0"/>
        </w:rPr>
        <w:instrText xml:space="preserve"> SEQ Table \* ARABIC </w:instrText>
      </w:r>
      <w:r w:rsidRPr="00840247">
        <w:rPr>
          <w:rFonts w:ascii="Verdana" w:hAnsi="Verdana" w:cs="Verdana"/>
          <w:b w:val="0"/>
          <w:bCs w:val="0"/>
        </w:rPr>
        <w:fldChar w:fldCharType="separate"/>
      </w:r>
      <w:r>
        <w:rPr>
          <w:rFonts w:ascii="Verdana" w:hAnsi="Verdana" w:cs="Verdana"/>
          <w:b w:val="0"/>
          <w:bCs w:val="0"/>
          <w:noProof/>
        </w:rPr>
        <w:t>3</w:t>
      </w:r>
      <w:r w:rsidRPr="00840247">
        <w:rPr>
          <w:rFonts w:ascii="Verdana" w:hAnsi="Verdana" w:cs="Verdana"/>
          <w:b w:val="0"/>
          <w:bCs w:val="0"/>
        </w:rPr>
        <w:fldChar w:fldCharType="end"/>
      </w:r>
      <w:bookmarkEnd w:id="7"/>
      <w:r w:rsidRPr="00840247">
        <w:rPr>
          <w:rFonts w:ascii="Verdana" w:hAnsi="Verdana" w:cs="Verdana"/>
          <w:b w:val="0"/>
          <w:bCs w:val="0"/>
        </w:rPr>
        <w:t>. Cost comparison of outsourcing to China</w:t>
      </w:r>
    </w:p>
    <w:p w:rsidR="00454BC8" w:rsidRDefault="00454BC8" w:rsidP="00B36A39">
      <w:pPr>
        <w:spacing w:after="0"/>
        <w:jc w:val="both"/>
        <w:rPr>
          <w:rFonts w:ascii="Verdana" w:hAnsi="Verdana" w:cs="Verdana"/>
          <w:sz w:val="20"/>
          <w:szCs w:val="20"/>
        </w:rPr>
      </w:pPr>
    </w:p>
    <w:p w:rsidR="00454BC8" w:rsidRDefault="00454BC8" w:rsidP="00840247">
      <w:pPr>
        <w:spacing w:after="0"/>
        <w:jc w:val="both"/>
        <w:rPr>
          <w:rFonts w:ascii="Verdana" w:hAnsi="Verdana" w:cs="Verdana"/>
          <w:sz w:val="20"/>
          <w:szCs w:val="20"/>
        </w:rPr>
      </w:pPr>
      <w:r>
        <w:rPr>
          <w:rFonts w:ascii="Verdana" w:hAnsi="Verdana" w:cs="Verdana"/>
          <w:sz w:val="20"/>
          <w:szCs w:val="20"/>
        </w:rPr>
        <w:t xml:space="preserve">The ‘landed cost comparison’ arises from a static analysis of purchase cost &amp; transportation cost. The greatest reduction of 43% is achieved for the beds, due to their higher labour content &amp; local material cost savings. When dynamic costs are taken into account, the overall cost reduction is 32%. The largest component of dynamic cost is the unloading cost, which affected by bullwhip-induced under &amp; over-utilisation of capacity. Inventory costs are negligible, as may be expected for such a low value density product. </w:t>
      </w:r>
      <w:r w:rsidRPr="00B7137C">
        <w:rPr>
          <w:rFonts w:ascii="Verdana" w:hAnsi="Verdana" w:cs="Verdana"/>
          <w:sz w:val="20"/>
          <w:szCs w:val="20"/>
        </w:rPr>
        <w:t>Here we can see that because the unit cost of unloading</w:t>
      </w:r>
      <w:r>
        <w:rPr>
          <w:rFonts w:ascii="Verdana" w:hAnsi="Verdana" w:cs="Verdana"/>
          <w:sz w:val="20"/>
          <w:szCs w:val="20"/>
        </w:rPr>
        <w:t xml:space="preserve"> &amp;</w:t>
      </w:r>
      <w:r w:rsidRPr="00B7137C">
        <w:rPr>
          <w:rFonts w:ascii="Verdana" w:hAnsi="Verdana" w:cs="Verdana"/>
          <w:sz w:val="20"/>
          <w:szCs w:val="20"/>
        </w:rPr>
        <w:t xml:space="preserve"> palletizing </w:t>
      </w:r>
      <w:r w:rsidR="00B8080C">
        <w:rPr>
          <w:rFonts w:ascii="Verdana" w:hAnsi="Verdana" w:cs="Verdana"/>
          <w:sz w:val="20"/>
          <w:szCs w:val="20"/>
        </w:rPr>
        <w:t xml:space="preserve">the </w:t>
      </w:r>
      <w:r w:rsidRPr="00B7137C">
        <w:rPr>
          <w:rFonts w:ascii="Verdana" w:hAnsi="Verdana" w:cs="Verdana"/>
          <w:sz w:val="20"/>
          <w:szCs w:val="20"/>
        </w:rPr>
        <w:t>container manually, the warehouse unloading costs are quite high for Chinese supply option.</w:t>
      </w:r>
      <w:r>
        <w:rPr>
          <w:rFonts w:ascii="Verdana" w:hAnsi="Verdana" w:cs="Verdana"/>
          <w:sz w:val="20"/>
          <w:szCs w:val="20"/>
        </w:rPr>
        <w:t xml:space="preserve"> </w:t>
      </w:r>
      <w:r w:rsidRPr="00B7137C">
        <w:rPr>
          <w:rFonts w:ascii="Verdana" w:hAnsi="Verdana" w:cs="Verdana"/>
          <w:sz w:val="20"/>
          <w:szCs w:val="20"/>
        </w:rPr>
        <w:t>But we can see that we need more unloading capacity, (above the average demand) for the UK option.</w:t>
      </w:r>
      <w:r>
        <w:rPr>
          <w:rFonts w:ascii="Verdana" w:hAnsi="Verdana" w:cs="Verdana"/>
          <w:sz w:val="20"/>
          <w:szCs w:val="20"/>
        </w:rPr>
        <w:t xml:space="preserve"> </w:t>
      </w:r>
      <w:r w:rsidRPr="00B7137C">
        <w:rPr>
          <w:rFonts w:ascii="Verdana" w:hAnsi="Verdana" w:cs="Verdana"/>
          <w:sz w:val="20"/>
          <w:szCs w:val="20"/>
        </w:rPr>
        <w:t>This is because the unit of measurement is in number of beds. However, as with the inventory analysis, these unloading costs are rather small in comparison with the other unit costs.</w:t>
      </w:r>
    </w:p>
    <w:p w:rsidR="00454BC8" w:rsidRPr="00B7137C" w:rsidRDefault="00454BC8" w:rsidP="00840247">
      <w:pPr>
        <w:spacing w:after="0"/>
        <w:jc w:val="both"/>
        <w:rPr>
          <w:rFonts w:ascii="Verdana" w:hAnsi="Verdana" w:cs="Verdana"/>
          <w:sz w:val="20"/>
          <w:szCs w:val="20"/>
        </w:rPr>
      </w:pPr>
    </w:p>
    <w:p w:rsidR="00454BC8" w:rsidRDefault="00454BC8" w:rsidP="00840247">
      <w:pPr>
        <w:spacing w:after="0"/>
        <w:jc w:val="both"/>
        <w:rPr>
          <w:rFonts w:ascii="Verdana" w:hAnsi="Verdana" w:cs="Verdana"/>
          <w:sz w:val="20"/>
          <w:szCs w:val="20"/>
        </w:rPr>
      </w:pPr>
      <w:r>
        <w:rPr>
          <w:rFonts w:ascii="Verdana" w:hAnsi="Verdana" w:cs="Verdana"/>
          <w:sz w:val="20"/>
          <w:szCs w:val="20"/>
        </w:rPr>
        <w:t xml:space="preserve">For the industrial products, average landed cost savings of 25.5% are reduced to an average of 22% as a result of dynamic costs, &amp; in these cases the pipeline &amp; warehouse inventory costs are absorbing around 3% of the saving, with negligible unloading costs, as may be expected for these higher value density products. A better understanding of </w:t>
      </w:r>
      <w:r w:rsidR="003C4ABD">
        <w:rPr>
          <w:rFonts w:ascii="Verdana" w:hAnsi="Verdana" w:cs="Verdana"/>
          <w:sz w:val="20"/>
          <w:szCs w:val="20"/>
        </w:rPr>
        <w:lastRenderedPageBreak/>
        <w:t>the overall cost composition could</w:t>
      </w:r>
      <w:r>
        <w:rPr>
          <w:rFonts w:ascii="Verdana" w:hAnsi="Verdana" w:cs="Verdana"/>
          <w:sz w:val="20"/>
          <w:szCs w:val="20"/>
        </w:rPr>
        <w:t xml:space="preserve"> be obtained by analysing the percentage of total unit costs for all five products when outsourced. </w:t>
      </w:r>
    </w:p>
    <w:p w:rsidR="00454BC8" w:rsidRDefault="00454BC8" w:rsidP="0037305E">
      <w:pPr>
        <w:spacing w:after="0" w:line="240" w:lineRule="auto"/>
        <w:rPr>
          <w:rFonts w:ascii="Verdana" w:hAnsi="Verdana" w:cs="Verdana"/>
          <w:sz w:val="20"/>
          <w:szCs w:val="20"/>
        </w:rPr>
      </w:pPr>
    </w:p>
    <w:p w:rsidR="00454BC8" w:rsidRDefault="00454BC8" w:rsidP="00840247">
      <w:pPr>
        <w:spacing w:after="0"/>
        <w:jc w:val="both"/>
        <w:rPr>
          <w:rFonts w:ascii="Verdana" w:hAnsi="Verdana" w:cs="Verdana"/>
          <w:b/>
          <w:bCs/>
          <w:sz w:val="20"/>
          <w:szCs w:val="20"/>
        </w:rPr>
      </w:pPr>
      <w:r>
        <w:rPr>
          <w:rFonts w:ascii="Verdana" w:hAnsi="Verdana" w:cs="Verdana"/>
          <w:b/>
          <w:bCs/>
          <w:sz w:val="20"/>
          <w:szCs w:val="20"/>
        </w:rPr>
        <w:t>CONCLUSION</w:t>
      </w:r>
    </w:p>
    <w:p w:rsidR="00454BC8" w:rsidRDefault="00454BC8" w:rsidP="00840247">
      <w:pPr>
        <w:spacing w:after="0"/>
        <w:jc w:val="both"/>
        <w:rPr>
          <w:rFonts w:ascii="Verdana" w:hAnsi="Verdana" w:cs="Verdana"/>
          <w:sz w:val="20"/>
          <w:szCs w:val="20"/>
        </w:rPr>
      </w:pPr>
      <w:r>
        <w:rPr>
          <w:rFonts w:ascii="Verdana" w:hAnsi="Verdana" w:cs="Verdana"/>
          <w:sz w:val="20"/>
          <w:szCs w:val="20"/>
        </w:rPr>
        <w:t xml:space="preserve">On the basis of the five products analysed, the hypothesis is unsupported. However, significant differences in product handling characteristics &amp; demand processes are also driving the dynamic element. The relatively high unloading cost for the beds is driving the dynamic costs, &amp;, at nearly 10%, suggests than dynamic analysis </w:t>
      </w:r>
      <w:r w:rsidRPr="005149B6">
        <w:rPr>
          <w:rFonts w:ascii="Verdana" w:hAnsi="Verdana" w:cs="Verdana"/>
          <w:i/>
          <w:iCs/>
          <w:sz w:val="20"/>
          <w:szCs w:val="20"/>
        </w:rPr>
        <w:t>is</w:t>
      </w:r>
      <w:r>
        <w:rPr>
          <w:rFonts w:ascii="Verdana" w:hAnsi="Verdana" w:cs="Verdana"/>
          <w:sz w:val="20"/>
          <w:szCs w:val="20"/>
        </w:rPr>
        <w:t xml:space="preserve"> worthwhile even for this low PVD product. For the industrial products, it is useful to know that some 3% of total cost arises due to the bullwhip effects on inventory.</w:t>
      </w:r>
    </w:p>
    <w:p w:rsidR="00454BC8" w:rsidRDefault="00454BC8" w:rsidP="00412B8A">
      <w:pPr>
        <w:spacing w:after="0" w:line="240" w:lineRule="auto"/>
        <w:jc w:val="both"/>
        <w:rPr>
          <w:rFonts w:ascii="Verdana" w:hAnsi="Verdana" w:cs="Verdana"/>
          <w:b/>
          <w:bCs/>
          <w:color w:val="000000"/>
          <w:sz w:val="20"/>
          <w:szCs w:val="20"/>
        </w:rPr>
      </w:pPr>
    </w:p>
    <w:p w:rsidR="00454BC8" w:rsidRPr="00412B8A" w:rsidRDefault="00454BC8" w:rsidP="00412B8A">
      <w:pPr>
        <w:spacing w:after="0" w:line="240" w:lineRule="auto"/>
        <w:jc w:val="both"/>
        <w:rPr>
          <w:rFonts w:ascii="Verdana" w:hAnsi="Verdana" w:cs="Verdana"/>
          <w:b/>
          <w:bCs/>
          <w:color w:val="000000"/>
          <w:sz w:val="20"/>
          <w:szCs w:val="20"/>
        </w:rPr>
      </w:pPr>
      <w:r w:rsidRPr="00412B8A">
        <w:rPr>
          <w:rFonts w:ascii="Verdana" w:hAnsi="Verdana" w:cs="Verdana"/>
          <w:b/>
          <w:bCs/>
          <w:color w:val="000000"/>
          <w:sz w:val="20"/>
          <w:szCs w:val="20"/>
        </w:rPr>
        <w:t>REFERENCES</w:t>
      </w:r>
    </w:p>
    <w:p w:rsidR="00454BC8" w:rsidRDefault="00454BC8" w:rsidP="00F86232">
      <w:pPr>
        <w:spacing w:after="0" w:line="240" w:lineRule="auto"/>
        <w:ind w:left="539" w:hanging="539"/>
        <w:jc w:val="both"/>
        <w:rPr>
          <w:rFonts w:ascii="Verdana" w:hAnsi="Verdana" w:cs="Verdana"/>
          <w:color w:val="000000"/>
          <w:sz w:val="20"/>
          <w:szCs w:val="20"/>
        </w:rPr>
      </w:pPr>
      <w:r w:rsidRPr="00412B8A">
        <w:rPr>
          <w:rFonts w:ascii="Verdana" w:hAnsi="Verdana" w:cs="Verdana"/>
          <w:color w:val="000000"/>
          <w:sz w:val="20"/>
          <w:szCs w:val="20"/>
        </w:rPr>
        <w:t>Berry, D.</w:t>
      </w:r>
      <w:r>
        <w:rPr>
          <w:rFonts w:ascii="Verdana" w:hAnsi="Verdana" w:cs="Verdana"/>
          <w:color w:val="000000"/>
          <w:sz w:val="20"/>
          <w:szCs w:val="20"/>
        </w:rPr>
        <w:t xml:space="preserve"> &amp;</w:t>
      </w:r>
      <w:r w:rsidRPr="00412B8A">
        <w:rPr>
          <w:rFonts w:ascii="Verdana" w:hAnsi="Verdana" w:cs="Verdana"/>
          <w:color w:val="000000"/>
          <w:sz w:val="20"/>
          <w:szCs w:val="20"/>
        </w:rPr>
        <w:t xml:space="preserve"> </w:t>
      </w:r>
      <w:proofErr w:type="spellStart"/>
      <w:r w:rsidRPr="00412B8A">
        <w:rPr>
          <w:rFonts w:ascii="Verdana" w:hAnsi="Verdana" w:cs="Verdana"/>
          <w:color w:val="000000"/>
          <w:sz w:val="20"/>
          <w:szCs w:val="20"/>
        </w:rPr>
        <w:t>Towill</w:t>
      </w:r>
      <w:proofErr w:type="spellEnd"/>
      <w:r w:rsidRPr="00412B8A">
        <w:rPr>
          <w:rFonts w:ascii="Verdana" w:hAnsi="Verdana" w:cs="Verdana"/>
          <w:color w:val="000000"/>
          <w:sz w:val="20"/>
          <w:szCs w:val="20"/>
        </w:rPr>
        <w:t>, D.R., (1995)</w:t>
      </w:r>
      <w:r>
        <w:rPr>
          <w:rFonts w:ascii="Verdana" w:hAnsi="Verdana" w:cs="Verdana"/>
          <w:color w:val="000000"/>
          <w:sz w:val="20"/>
          <w:szCs w:val="20"/>
        </w:rPr>
        <w:t>,</w:t>
      </w:r>
      <w:r w:rsidRPr="00412B8A">
        <w:rPr>
          <w:rFonts w:ascii="Verdana" w:hAnsi="Verdana" w:cs="Verdana"/>
          <w:color w:val="000000"/>
          <w:sz w:val="20"/>
          <w:szCs w:val="20"/>
        </w:rPr>
        <w:t xml:space="preserve"> </w:t>
      </w:r>
      <w:r>
        <w:rPr>
          <w:rFonts w:ascii="Verdana" w:hAnsi="Verdana" w:cs="Verdana"/>
          <w:color w:val="000000"/>
          <w:sz w:val="20"/>
          <w:szCs w:val="20"/>
        </w:rPr>
        <w:t>“</w:t>
      </w:r>
      <w:r w:rsidRPr="00412B8A">
        <w:rPr>
          <w:rFonts w:ascii="Verdana" w:hAnsi="Verdana" w:cs="Verdana"/>
          <w:color w:val="000000"/>
          <w:sz w:val="20"/>
          <w:szCs w:val="20"/>
        </w:rPr>
        <w:t>Reduce costs- Use a more intelligent production</w:t>
      </w:r>
      <w:r>
        <w:rPr>
          <w:rFonts w:ascii="Verdana" w:hAnsi="Verdana" w:cs="Verdana"/>
          <w:color w:val="000000"/>
          <w:sz w:val="20"/>
          <w:szCs w:val="20"/>
        </w:rPr>
        <w:t xml:space="preserve"> &amp; </w:t>
      </w:r>
      <w:r w:rsidRPr="00412B8A">
        <w:rPr>
          <w:rFonts w:ascii="Verdana" w:hAnsi="Verdana" w:cs="Verdana"/>
          <w:color w:val="000000"/>
          <w:sz w:val="20"/>
          <w:szCs w:val="20"/>
        </w:rPr>
        <w:t>inventory planning policy</w:t>
      </w:r>
      <w:r>
        <w:rPr>
          <w:rFonts w:ascii="Verdana" w:hAnsi="Verdana" w:cs="Verdana"/>
          <w:color w:val="000000"/>
          <w:sz w:val="20"/>
          <w:szCs w:val="20"/>
        </w:rPr>
        <w:t>”</w:t>
      </w:r>
      <w:r w:rsidRPr="00412B8A">
        <w:rPr>
          <w:rFonts w:ascii="Verdana" w:hAnsi="Verdana" w:cs="Verdana"/>
          <w:color w:val="000000"/>
          <w:sz w:val="20"/>
          <w:szCs w:val="20"/>
        </w:rPr>
        <w:t>,</w:t>
      </w:r>
      <w:r w:rsidRPr="00412B8A">
        <w:rPr>
          <w:rFonts w:ascii="Verdana" w:hAnsi="Verdana" w:cs="Verdana"/>
          <w:i/>
          <w:iCs/>
          <w:color w:val="000000"/>
          <w:sz w:val="20"/>
          <w:szCs w:val="20"/>
        </w:rPr>
        <w:t xml:space="preserve"> BPICS Control,</w:t>
      </w:r>
      <w:r w:rsidRPr="00412B8A">
        <w:rPr>
          <w:rFonts w:ascii="Verdana" w:hAnsi="Verdana" w:cs="Verdana"/>
          <w:color w:val="000000"/>
          <w:sz w:val="20"/>
          <w:szCs w:val="20"/>
        </w:rPr>
        <w:t xml:space="preserve"> November 1995, pp26-30.</w:t>
      </w:r>
      <w:r w:rsidRPr="00412B8A">
        <w:rPr>
          <w:rFonts w:ascii="Verdana" w:hAnsi="Verdana" w:cs="Verdana"/>
          <w:color w:val="000000"/>
          <w:sz w:val="20"/>
          <w:szCs w:val="20"/>
        </w:rPr>
        <w:tab/>
      </w:r>
    </w:p>
    <w:p w:rsidR="00454BC8" w:rsidRDefault="00454BC8" w:rsidP="00F86232">
      <w:pPr>
        <w:spacing w:after="0"/>
        <w:ind w:left="539" w:hanging="539"/>
        <w:jc w:val="both"/>
        <w:rPr>
          <w:rFonts w:ascii="Verdana" w:hAnsi="Verdana" w:cs="Verdana"/>
          <w:sz w:val="20"/>
          <w:szCs w:val="20"/>
        </w:rPr>
      </w:pPr>
      <w:r>
        <w:rPr>
          <w:rFonts w:ascii="Verdana" w:hAnsi="Verdana" w:cs="Verdana"/>
          <w:sz w:val="20"/>
          <w:szCs w:val="20"/>
        </w:rPr>
        <w:t xml:space="preserve">Christopher, M., </w:t>
      </w:r>
      <w:proofErr w:type="spellStart"/>
      <w:r>
        <w:rPr>
          <w:rFonts w:ascii="Verdana" w:hAnsi="Verdana" w:cs="Verdana"/>
          <w:sz w:val="20"/>
          <w:szCs w:val="20"/>
        </w:rPr>
        <w:t>Towill</w:t>
      </w:r>
      <w:proofErr w:type="spellEnd"/>
      <w:r>
        <w:rPr>
          <w:rFonts w:ascii="Verdana" w:hAnsi="Verdana" w:cs="Verdana"/>
          <w:sz w:val="20"/>
          <w:szCs w:val="20"/>
        </w:rPr>
        <w:t xml:space="preserve">, D.R., Aitken, J., &amp; </w:t>
      </w:r>
      <w:proofErr w:type="spellStart"/>
      <w:r>
        <w:rPr>
          <w:rFonts w:ascii="Verdana" w:hAnsi="Verdana" w:cs="Verdana"/>
          <w:sz w:val="20"/>
          <w:szCs w:val="20"/>
        </w:rPr>
        <w:t>Childerhouse</w:t>
      </w:r>
      <w:proofErr w:type="spellEnd"/>
      <w:r>
        <w:rPr>
          <w:rFonts w:ascii="Verdana" w:hAnsi="Verdana" w:cs="Verdana"/>
          <w:sz w:val="20"/>
          <w:szCs w:val="20"/>
        </w:rPr>
        <w:t xml:space="preserve">, P., (2008), “Value stream classification”, </w:t>
      </w:r>
      <w:r>
        <w:rPr>
          <w:rFonts w:ascii="Verdana" w:hAnsi="Verdana" w:cs="Verdana"/>
          <w:i/>
          <w:iCs/>
          <w:sz w:val="20"/>
          <w:szCs w:val="20"/>
        </w:rPr>
        <w:t xml:space="preserve">Journal of Manufacturing Technology </w:t>
      </w:r>
      <w:r w:rsidRPr="00383832">
        <w:rPr>
          <w:rFonts w:ascii="Verdana" w:hAnsi="Verdana" w:cs="Verdana"/>
          <w:i/>
          <w:iCs/>
          <w:sz w:val="20"/>
          <w:szCs w:val="20"/>
        </w:rPr>
        <w:t>Management</w:t>
      </w:r>
      <w:r>
        <w:rPr>
          <w:rFonts w:ascii="Verdana" w:hAnsi="Verdana" w:cs="Verdana"/>
          <w:sz w:val="20"/>
          <w:szCs w:val="20"/>
        </w:rPr>
        <w:t xml:space="preserve">, </w:t>
      </w:r>
      <w:r w:rsidRPr="00794AC7">
        <w:rPr>
          <w:rFonts w:ascii="Verdana" w:hAnsi="Verdana" w:cs="Verdana"/>
          <w:b/>
          <w:bCs/>
          <w:sz w:val="20"/>
          <w:szCs w:val="20"/>
        </w:rPr>
        <w:t>20</w:t>
      </w:r>
      <w:r>
        <w:rPr>
          <w:rFonts w:ascii="Verdana" w:hAnsi="Verdana" w:cs="Verdana"/>
          <w:sz w:val="20"/>
          <w:szCs w:val="20"/>
        </w:rPr>
        <w:t xml:space="preserve"> (4), pp460-474.</w:t>
      </w:r>
    </w:p>
    <w:p w:rsidR="00454BC8" w:rsidRDefault="00454BC8" w:rsidP="00F86232">
      <w:pPr>
        <w:spacing w:after="0"/>
        <w:ind w:left="539" w:hanging="539"/>
        <w:jc w:val="both"/>
        <w:rPr>
          <w:rFonts w:ascii="Verdana" w:hAnsi="Verdana" w:cs="Verdana"/>
          <w:sz w:val="20"/>
          <w:szCs w:val="20"/>
        </w:rPr>
      </w:pPr>
      <w:r w:rsidRPr="00CF1B4E">
        <w:rPr>
          <w:rFonts w:ascii="Verdana" w:hAnsi="Verdana" w:cs="Verdana"/>
          <w:sz w:val="20"/>
          <w:szCs w:val="20"/>
        </w:rPr>
        <w:t>Co</w:t>
      </w:r>
      <w:r>
        <w:rPr>
          <w:rFonts w:ascii="Verdana" w:hAnsi="Verdana" w:cs="Verdana"/>
          <w:sz w:val="20"/>
          <w:szCs w:val="20"/>
        </w:rPr>
        <w:t>h</w:t>
      </w:r>
      <w:r w:rsidRPr="00CF1B4E">
        <w:rPr>
          <w:rFonts w:ascii="Verdana" w:hAnsi="Verdana" w:cs="Verdana"/>
          <w:sz w:val="20"/>
          <w:szCs w:val="20"/>
        </w:rPr>
        <w:t>en</w:t>
      </w:r>
      <w:r w:rsidRPr="00412B8A">
        <w:rPr>
          <w:rFonts w:ascii="Verdana" w:hAnsi="Verdana" w:cs="Verdana"/>
          <w:sz w:val="20"/>
          <w:szCs w:val="20"/>
        </w:rPr>
        <w:t>, M.A.</w:t>
      </w:r>
      <w:r>
        <w:rPr>
          <w:rFonts w:ascii="Verdana" w:hAnsi="Verdana" w:cs="Verdana"/>
          <w:sz w:val="20"/>
          <w:szCs w:val="20"/>
        </w:rPr>
        <w:t xml:space="preserve"> &amp;</w:t>
      </w:r>
      <w:r w:rsidRPr="00412B8A">
        <w:rPr>
          <w:rFonts w:ascii="Verdana" w:hAnsi="Verdana" w:cs="Verdana"/>
          <w:sz w:val="20"/>
          <w:szCs w:val="20"/>
        </w:rPr>
        <w:t xml:space="preserve"> Lee, H.L. (1989)</w:t>
      </w:r>
      <w:r>
        <w:rPr>
          <w:rFonts w:ascii="Verdana" w:hAnsi="Verdana" w:cs="Verdana"/>
          <w:sz w:val="20"/>
          <w:szCs w:val="20"/>
        </w:rPr>
        <w:t>,</w:t>
      </w:r>
      <w:r w:rsidRPr="00412B8A">
        <w:rPr>
          <w:rFonts w:ascii="Verdana" w:hAnsi="Verdana" w:cs="Verdana"/>
          <w:sz w:val="20"/>
          <w:szCs w:val="20"/>
        </w:rPr>
        <w:t xml:space="preserve"> “Resource deployment analysis of global manufacturing</w:t>
      </w:r>
      <w:r>
        <w:rPr>
          <w:rFonts w:ascii="Verdana" w:hAnsi="Verdana" w:cs="Verdana"/>
          <w:sz w:val="20"/>
          <w:szCs w:val="20"/>
        </w:rPr>
        <w:t xml:space="preserve"> &amp;</w:t>
      </w:r>
      <w:r w:rsidRPr="00412B8A">
        <w:rPr>
          <w:rFonts w:ascii="Verdana" w:hAnsi="Verdana" w:cs="Verdana"/>
          <w:sz w:val="20"/>
          <w:szCs w:val="20"/>
        </w:rPr>
        <w:t xml:space="preserve"> distribution networks”, </w:t>
      </w:r>
      <w:r w:rsidRPr="00412B8A">
        <w:rPr>
          <w:rFonts w:ascii="Verdana" w:hAnsi="Verdana" w:cs="Verdana"/>
          <w:i/>
          <w:iCs/>
          <w:sz w:val="20"/>
          <w:szCs w:val="20"/>
        </w:rPr>
        <w:t xml:space="preserve">Journal of Manufacturing </w:t>
      </w:r>
      <w:r>
        <w:rPr>
          <w:rFonts w:ascii="Verdana" w:hAnsi="Verdana" w:cs="Verdana"/>
          <w:i/>
          <w:iCs/>
          <w:sz w:val="20"/>
          <w:szCs w:val="20"/>
        </w:rPr>
        <w:t>&amp;</w:t>
      </w:r>
      <w:r w:rsidRPr="00412B8A">
        <w:rPr>
          <w:rFonts w:ascii="Verdana" w:hAnsi="Verdana" w:cs="Verdana"/>
          <w:i/>
          <w:iCs/>
          <w:sz w:val="20"/>
          <w:szCs w:val="20"/>
        </w:rPr>
        <w:t xml:space="preserve"> Operations Management</w:t>
      </w:r>
      <w:r w:rsidRPr="00412B8A">
        <w:rPr>
          <w:rFonts w:ascii="Verdana" w:hAnsi="Verdana" w:cs="Verdana"/>
          <w:sz w:val="20"/>
          <w:szCs w:val="20"/>
        </w:rPr>
        <w:t xml:space="preserve">, </w:t>
      </w:r>
      <w:r w:rsidRPr="00794AC7">
        <w:rPr>
          <w:rFonts w:ascii="Verdana" w:hAnsi="Verdana" w:cs="Verdana"/>
          <w:b/>
          <w:bCs/>
          <w:sz w:val="20"/>
          <w:szCs w:val="20"/>
        </w:rPr>
        <w:t>2</w:t>
      </w:r>
      <w:r w:rsidRPr="00412B8A">
        <w:rPr>
          <w:rFonts w:ascii="Verdana" w:hAnsi="Verdana" w:cs="Verdana"/>
          <w:sz w:val="20"/>
          <w:szCs w:val="20"/>
        </w:rPr>
        <w:t>, pp473-482.</w:t>
      </w:r>
    </w:p>
    <w:p w:rsidR="00454BC8" w:rsidRDefault="00454BC8" w:rsidP="00F86232">
      <w:pPr>
        <w:spacing w:after="0"/>
        <w:ind w:left="539" w:hanging="539"/>
        <w:jc w:val="both"/>
        <w:rPr>
          <w:rFonts w:ascii="Verdana" w:hAnsi="Verdana" w:cs="Verdana"/>
          <w:sz w:val="20"/>
          <w:szCs w:val="20"/>
        </w:rPr>
      </w:pPr>
      <w:r w:rsidRPr="00095B01">
        <w:rPr>
          <w:rFonts w:ascii="Verdana" w:hAnsi="Verdana" w:cs="Verdana"/>
          <w:sz w:val="20"/>
          <w:szCs w:val="20"/>
        </w:rPr>
        <w:t>Disney, S.M.</w:t>
      </w:r>
      <w:r>
        <w:rPr>
          <w:rFonts w:ascii="Verdana" w:hAnsi="Verdana" w:cs="Verdana"/>
          <w:sz w:val="20"/>
          <w:szCs w:val="20"/>
        </w:rPr>
        <w:t xml:space="preserve"> &amp;</w:t>
      </w:r>
      <w:r w:rsidRPr="00095B01">
        <w:rPr>
          <w:rFonts w:ascii="Verdana" w:hAnsi="Verdana" w:cs="Verdana"/>
          <w:sz w:val="20"/>
          <w:szCs w:val="20"/>
        </w:rPr>
        <w:t xml:space="preserve"> </w:t>
      </w:r>
      <w:proofErr w:type="spellStart"/>
      <w:r w:rsidRPr="00095B01">
        <w:rPr>
          <w:rFonts w:ascii="Verdana" w:hAnsi="Verdana" w:cs="Verdana"/>
          <w:sz w:val="20"/>
          <w:szCs w:val="20"/>
        </w:rPr>
        <w:t>Lambrecht</w:t>
      </w:r>
      <w:proofErr w:type="spellEnd"/>
      <w:r w:rsidRPr="00095B01">
        <w:rPr>
          <w:rFonts w:ascii="Verdana" w:hAnsi="Verdana" w:cs="Verdana"/>
          <w:sz w:val="20"/>
          <w:szCs w:val="20"/>
        </w:rPr>
        <w:t>, M.R., (2008), “On replenishment rules, forecasting</w:t>
      </w:r>
      <w:r>
        <w:rPr>
          <w:rFonts w:ascii="Verdana" w:hAnsi="Verdana" w:cs="Verdana"/>
          <w:sz w:val="20"/>
          <w:szCs w:val="20"/>
        </w:rPr>
        <w:t xml:space="preserve"> &amp;</w:t>
      </w:r>
      <w:r w:rsidRPr="00095B01">
        <w:rPr>
          <w:rFonts w:ascii="Verdana" w:hAnsi="Verdana" w:cs="Verdana"/>
          <w:sz w:val="20"/>
          <w:szCs w:val="20"/>
        </w:rPr>
        <w:t xml:space="preserve"> the bullwhip effect in supply chains”, </w:t>
      </w:r>
      <w:r w:rsidRPr="00095B01">
        <w:rPr>
          <w:rFonts w:ascii="Verdana" w:hAnsi="Verdana" w:cs="Verdana"/>
          <w:i/>
          <w:iCs/>
          <w:sz w:val="20"/>
          <w:szCs w:val="20"/>
        </w:rPr>
        <w:t xml:space="preserve">Foundations </w:t>
      </w:r>
      <w:r>
        <w:rPr>
          <w:rFonts w:ascii="Verdana" w:hAnsi="Verdana" w:cs="Verdana"/>
          <w:i/>
          <w:iCs/>
          <w:sz w:val="20"/>
          <w:szCs w:val="20"/>
        </w:rPr>
        <w:t>&amp;</w:t>
      </w:r>
      <w:r w:rsidRPr="00095B01">
        <w:rPr>
          <w:rFonts w:ascii="Verdana" w:hAnsi="Verdana" w:cs="Verdana"/>
          <w:i/>
          <w:iCs/>
          <w:sz w:val="20"/>
          <w:szCs w:val="20"/>
        </w:rPr>
        <w:t xml:space="preserve"> Trends in Technology, Information </w:t>
      </w:r>
      <w:r>
        <w:rPr>
          <w:rFonts w:ascii="Verdana" w:hAnsi="Verdana" w:cs="Verdana"/>
          <w:i/>
          <w:iCs/>
          <w:sz w:val="20"/>
          <w:szCs w:val="20"/>
        </w:rPr>
        <w:t>&amp;</w:t>
      </w:r>
      <w:r w:rsidRPr="00095B01">
        <w:rPr>
          <w:rFonts w:ascii="Verdana" w:hAnsi="Verdana" w:cs="Verdana"/>
          <w:i/>
          <w:iCs/>
          <w:sz w:val="20"/>
          <w:szCs w:val="20"/>
        </w:rPr>
        <w:t xml:space="preserve"> Operations Management</w:t>
      </w:r>
      <w:r w:rsidRPr="00095B01">
        <w:rPr>
          <w:rFonts w:ascii="Verdana" w:hAnsi="Verdana" w:cs="Verdana"/>
          <w:sz w:val="20"/>
          <w:szCs w:val="20"/>
        </w:rPr>
        <w:t xml:space="preserve">, </w:t>
      </w:r>
      <w:r w:rsidRPr="00794AC7">
        <w:rPr>
          <w:rFonts w:ascii="Verdana" w:hAnsi="Verdana" w:cs="Verdana"/>
          <w:b/>
          <w:bCs/>
          <w:sz w:val="20"/>
          <w:szCs w:val="20"/>
        </w:rPr>
        <w:t>2</w:t>
      </w:r>
      <w:r>
        <w:rPr>
          <w:rFonts w:ascii="Verdana" w:hAnsi="Verdana" w:cs="Verdana"/>
          <w:sz w:val="20"/>
          <w:szCs w:val="20"/>
        </w:rPr>
        <w:t xml:space="preserve"> (</w:t>
      </w:r>
      <w:r w:rsidRPr="00095B01">
        <w:rPr>
          <w:rFonts w:ascii="Verdana" w:hAnsi="Verdana" w:cs="Verdana"/>
          <w:sz w:val="20"/>
          <w:szCs w:val="20"/>
        </w:rPr>
        <w:t>1</w:t>
      </w:r>
      <w:r>
        <w:rPr>
          <w:rFonts w:ascii="Verdana" w:hAnsi="Verdana" w:cs="Verdana"/>
          <w:sz w:val="20"/>
          <w:szCs w:val="20"/>
        </w:rPr>
        <w:t>)</w:t>
      </w:r>
      <w:r w:rsidRPr="00095B01">
        <w:rPr>
          <w:rFonts w:ascii="Verdana" w:hAnsi="Verdana" w:cs="Verdana"/>
          <w:sz w:val="20"/>
          <w:szCs w:val="20"/>
        </w:rPr>
        <w:t>, pp1-80.</w:t>
      </w:r>
    </w:p>
    <w:p w:rsidR="00454BC8" w:rsidRPr="00412B8A" w:rsidRDefault="00454BC8" w:rsidP="00F86232">
      <w:pPr>
        <w:spacing w:after="0"/>
        <w:ind w:left="539" w:hanging="539"/>
        <w:jc w:val="both"/>
        <w:rPr>
          <w:rFonts w:ascii="Verdana" w:hAnsi="Verdana" w:cs="Verdana"/>
          <w:sz w:val="20"/>
          <w:szCs w:val="20"/>
        </w:rPr>
      </w:pPr>
      <w:r w:rsidRPr="0084601E">
        <w:rPr>
          <w:rFonts w:ascii="Verdana" w:hAnsi="Verdana" w:cs="Verdana"/>
          <w:sz w:val="20"/>
          <w:szCs w:val="20"/>
        </w:rPr>
        <w:t xml:space="preserve">Disney, S.M., </w:t>
      </w:r>
      <w:proofErr w:type="spellStart"/>
      <w:r w:rsidRPr="0084601E">
        <w:rPr>
          <w:rFonts w:ascii="Verdana" w:hAnsi="Verdana" w:cs="Verdana"/>
          <w:sz w:val="20"/>
          <w:szCs w:val="20"/>
        </w:rPr>
        <w:t>Gaalman</w:t>
      </w:r>
      <w:proofErr w:type="spellEnd"/>
      <w:r w:rsidRPr="0084601E">
        <w:rPr>
          <w:rFonts w:ascii="Verdana" w:hAnsi="Verdana" w:cs="Verdana"/>
          <w:sz w:val="20"/>
          <w:szCs w:val="20"/>
        </w:rPr>
        <w:t>, G.</w:t>
      </w:r>
      <w:r>
        <w:rPr>
          <w:rFonts w:ascii="Verdana" w:hAnsi="Verdana" w:cs="Verdana"/>
          <w:sz w:val="20"/>
          <w:szCs w:val="20"/>
        </w:rPr>
        <w:t xml:space="preserve"> &amp;</w:t>
      </w:r>
      <w:r w:rsidRPr="0084601E">
        <w:rPr>
          <w:rFonts w:ascii="Verdana" w:hAnsi="Verdana" w:cs="Verdana"/>
          <w:sz w:val="20"/>
          <w:szCs w:val="20"/>
        </w:rPr>
        <w:t xml:space="preserve"> </w:t>
      </w:r>
      <w:proofErr w:type="spellStart"/>
      <w:r w:rsidRPr="0084601E">
        <w:rPr>
          <w:rFonts w:ascii="Verdana" w:hAnsi="Verdana" w:cs="Verdana"/>
          <w:sz w:val="20"/>
          <w:szCs w:val="20"/>
        </w:rPr>
        <w:t>Hosoda</w:t>
      </w:r>
      <w:proofErr w:type="spellEnd"/>
      <w:r w:rsidRPr="0084601E">
        <w:rPr>
          <w:rFonts w:ascii="Verdana" w:hAnsi="Verdana" w:cs="Verdana"/>
          <w:sz w:val="20"/>
          <w:szCs w:val="20"/>
        </w:rPr>
        <w:t>, T., (2012), “Review of stochastic cost functions for production</w:t>
      </w:r>
      <w:r>
        <w:rPr>
          <w:rFonts w:ascii="Verdana" w:hAnsi="Verdana" w:cs="Verdana"/>
          <w:sz w:val="20"/>
          <w:szCs w:val="20"/>
        </w:rPr>
        <w:t xml:space="preserve"> &amp;</w:t>
      </w:r>
      <w:r w:rsidRPr="0084601E">
        <w:rPr>
          <w:rFonts w:ascii="Verdana" w:hAnsi="Verdana" w:cs="Verdana"/>
          <w:sz w:val="20"/>
          <w:szCs w:val="20"/>
        </w:rPr>
        <w:t xml:space="preserve"> inventory control”, </w:t>
      </w:r>
      <w:r w:rsidRPr="0084601E">
        <w:rPr>
          <w:rFonts w:ascii="Verdana" w:hAnsi="Verdana" w:cs="Verdana"/>
          <w:i/>
          <w:iCs/>
          <w:sz w:val="20"/>
          <w:szCs w:val="20"/>
        </w:rPr>
        <w:t>Pre-prints of the 17th International Working Seminar of Production Economics</w:t>
      </w:r>
      <w:r w:rsidRPr="0084601E">
        <w:rPr>
          <w:rFonts w:ascii="Verdana" w:hAnsi="Verdana" w:cs="Verdana"/>
          <w:sz w:val="20"/>
          <w:szCs w:val="20"/>
        </w:rPr>
        <w:t>, In</w:t>
      </w:r>
      <w:r>
        <w:rPr>
          <w:rFonts w:ascii="Verdana" w:hAnsi="Verdana" w:cs="Verdana"/>
          <w:sz w:val="20"/>
          <w:szCs w:val="20"/>
        </w:rPr>
        <w:t>nsbruck, Austria, Feb 20</w:t>
      </w:r>
      <w:r w:rsidRPr="00843B1F">
        <w:rPr>
          <w:rFonts w:ascii="Verdana" w:hAnsi="Verdana" w:cs="Verdana"/>
          <w:sz w:val="20"/>
          <w:szCs w:val="20"/>
          <w:vertAlign w:val="superscript"/>
        </w:rPr>
        <w:t>th</w:t>
      </w:r>
      <w:r w:rsidRPr="0084601E">
        <w:rPr>
          <w:rFonts w:ascii="Verdana" w:hAnsi="Verdana" w:cs="Verdana"/>
          <w:sz w:val="20"/>
          <w:szCs w:val="20"/>
        </w:rPr>
        <w:t>-24</w:t>
      </w:r>
      <w:r w:rsidRPr="00843B1F">
        <w:rPr>
          <w:rFonts w:ascii="Verdana" w:hAnsi="Verdana" w:cs="Verdana"/>
          <w:sz w:val="20"/>
          <w:szCs w:val="20"/>
          <w:vertAlign w:val="superscript"/>
        </w:rPr>
        <w:t>th</w:t>
      </w:r>
      <w:r w:rsidRPr="0084601E">
        <w:rPr>
          <w:rFonts w:ascii="Verdana" w:hAnsi="Verdana" w:cs="Verdana"/>
          <w:sz w:val="20"/>
          <w:szCs w:val="20"/>
        </w:rPr>
        <w:t xml:space="preserve">, </w:t>
      </w:r>
      <w:r w:rsidRPr="00794AC7">
        <w:rPr>
          <w:rFonts w:ascii="Verdana" w:hAnsi="Verdana" w:cs="Verdana"/>
          <w:b/>
          <w:bCs/>
          <w:sz w:val="20"/>
          <w:szCs w:val="20"/>
        </w:rPr>
        <w:t>1</w:t>
      </w:r>
      <w:r w:rsidRPr="0084601E">
        <w:rPr>
          <w:rFonts w:ascii="Verdana" w:hAnsi="Verdana" w:cs="Verdana"/>
          <w:sz w:val="20"/>
          <w:szCs w:val="20"/>
        </w:rPr>
        <w:t>, pp117-128.</w:t>
      </w:r>
    </w:p>
    <w:p w:rsidR="00454BC8" w:rsidRDefault="00454BC8" w:rsidP="00F86232">
      <w:pPr>
        <w:spacing w:after="0" w:line="240" w:lineRule="auto"/>
        <w:ind w:left="539" w:hanging="539"/>
        <w:jc w:val="both"/>
        <w:rPr>
          <w:rFonts w:ascii="Verdana" w:hAnsi="Verdana" w:cs="Verdana"/>
          <w:sz w:val="20"/>
          <w:szCs w:val="20"/>
        </w:rPr>
      </w:pPr>
      <w:r w:rsidRPr="00412B8A">
        <w:rPr>
          <w:rFonts w:ascii="Verdana" w:hAnsi="Verdana" w:cs="Verdana"/>
          <w:sz w:val="20"/>
          <w:szCs w:val="20"/>
        </w:rPr>
        <w:t xml:space="preserve">Forrester, J. (1961), </w:t>
      </w:r>
      <w:r w:rsidRPr="00412B8A">
        <w:rPr>
          <w:rFonts w:ascii="Verdana" w:hAnsi="Verdana" w:cs="Verdana"/>
          <w:i/>
          <w:iCs/>
          <w:sz w:val="20"/>
          <w:szCs w:val="20"/>
        </w:rPr>
        <w:t>Industrial Dynamics</w:t>
      </w:r>
      <w:r w:rsidRPr="00412B8A">
        <w:rPr>
          <w:rFonts w:ascii="Verdana" w:hAnsi="Verdana" w:cs="Verdana"/>
          <w:sz w:val="20"/>
          <w:szCs w:val="20"/>
        </w:rPr>
        <w:t>. MIT Press, Cambridge MA.</w:t>
      </w:r>
    </w:p>
    <w:p w:rsidR="00454BC8" w:rsidRDefault="00454BC8" w:rsidP="00F86232">
      <w:pPr>
        <w:spacing w:after="0" w:line="240" w:lineRule="auto"/>
        <w:ind w:left="539" w:hanging="539"/>
        <w:jc w:val="both"/>
        <w:rPr>
          <w:rFonts w:ascii="Verdana" w:hAnsi="Verdana" w:cs="Verdana"/>
          <w:sz w:val="20"/>
          <w:szCs w:val="20"/>
        </w:rPr>
      </w:pPr>
      <w:r>
        <w:rPr>
          <w:rFonts w:ascii="Verdana" w:hAnsi="Verdana" w:cs="Verdana"/>
          <w:sz w:val="20"/>
          <w:szCs w:val="20"/>
        </w:rPr>
        <w:t xml:space="preserve">Fuller, J.B., O’Connor, J. &amp; Rawlinson, R., (1993), “Tailored Logistics: the next advantage”, </w:t>
      </w:r>
      <w:r>
        <w:rPr>
          <w:rFonts w:ascii="Verdana" w:hAnsi="Verdana" w:cs="Verdana"/>
          <w:i/>
          <w:iCs/>
          <w:sz w:val="20"/>
          <w:szCs w:val="20"/>
        </w:rPr>
        <w:t>Harvard Business Review</w:t>
      </w:r>
      <w:r>
        <w:rPr>
          <w:rFonts w:ascii="Verdana" w:hAnsi="Verdana" w:cs="Verdana"/>
          <w:sz w:val="20"/>
          <w:szCs w:val="20"/>
        </w:rPr>
        <w:t>, May-June, pp97-93.</w:t>
      </w:r>
    </w:p>
    <w:p w:rsidR="00454BC8" w:rsidRPr="00412B8A" w:rsidRDefault="00454BC8" w:rsidP="00F86232">
      <w:pPr>
        <w:spacing w:after="0" w:line="240" w:lineRule="auto"/>
        <w:ind w:left="539" w:hanging="539"/>
        <w:jc w:val="both"/>
        <w:rPr>
          <w:rFonts w:ascii="Verdana" w:hAnsi="Verdana" w:cs="Verdana"/>
          <w:sz w:val="20"/>
          <w:szCs w:val="20"/>
        </w:rPr>
      </w:pPr>
      <w:proofErr w:type="spellStart"/>
      <w:r w:rsidRPr="00F86232">
        <w:rPr>
          <w:rFonts w:ascii="Verdana" w:hAnsi="Verdana" w:cs="Verdana"/>
          <w:sz w:val="20"/>
          <w:szCs w:val="20"/>
        </w:rPr>
        <w:t>Hosoda</w:t>
      </w:r>
      <w:proofErr w:type="spellEnd"/>
      <w:r w:rsidRPr="00F86232">
        <w:rPr>
          <w:rFonts w:ascii="Verdana" w:hAnsi="Verdana" w:cs="Verdana"/>
          <w:sz w:val="20"/>
          <w:szCs w:val="20"/>
        </w:rPr>
        <w:t>, T.</w:t>
      </w:r>
      <w:r>
        <w:rPr>
          <w:rFonts w:ascii="Verdana" w:hAnsi="Verdana" w:cs="Verdana"/>
          <w:sz w:val="20"/>
          <w:szCs w:val="20"/>
        </w:rPr>
        <w:t xml:space="preserve"> &amp;</w:t>
      </w:r>
      <w:r w:rsidRPr="00F86232">
        <w:rPr>
          <w:rFonts w:ascii="Verdana" w:hAnsi="Verdana" w:cs="Verdana"/>
          <w:sz w:val="20"/>
          <w:szCs w:val="20"/>
        </w:rPr>
        <w:t xml:space="preserve"> Disney, S.M., (2006), “On variance amplification in a three-echelon supply chain with minimum mean squared error forecasting”, </w:t>
      </w:r>
      <w:r w:rsidRPr="00F86232">
        <w:rPr>
          <w:rFonts w:ascii="Verdana" w:hAnsi="Verdana" w:cs="Verdana"/>
          <w:i/>
          <w:iCs/>
          <w:sz w:val="20"/>
          <w:szCs w:val="20"/>
        </w:rPr>
        <w:t>OMEGA: The International Journal of Management Science</w:t>
      </w:r>
      <w:r>
        <w:rPr>
          <w:rFonts w:ascii="Verdana" w:hAnsi="Verdana" w:cs="Verdana"/>
          <w:sz w:val="20"/>
          <w:szCs w:val="20"/>
        </w:rPr>
        <w:t xml:space="preserve">, </w:t>
      </w:r>
      <w:r w:rsidRPr="00F86232">
        <w:rPr>
          <w:rFonts w:ascii="Verdana" w:hAnsi="Verdana" w:cs="Verdana"/>
          <w:b/>
          <w:bCs/>
          <w:sz w:val="20"/>
          <w:szCs w:val="20"/>
        </w:rPr>
        <w:t>34</w:t>
      </w:r>
      <w:r w:rsidRPr="00F86232">
        <w:rPr>
          <w:rFonts w:ascii="Verdana" w:hAnsi="Verdana" w:cs="Verdana"/>
          <w:sz w:val="20"/>
          <w:szCs w:val="20"/>
        </w:rPr>
        <w:t>, pp344-358.</w:t>
      </w:r>
    </w:p>
    <w:p w:rsidR="00454BC8" w:rsidRPr="00F86232" w:rsidRDefault="00454BC8" w:rsidP="00F86232">
      <w:pPr>
        <w:spacing w:after="0" w:line="240" w:lineRule="auto"/>
        <w:ind w:left="539" w:hanging="539"/>
        <w:jc w:val="both"/>
        <w:rPr>
          <w:rFonts w:ascii="Verdana" w:hAnsi="Verdana" w:cs="Verdana"/>
          <w:sz w:val="20"/>
          <w:szCs w:val="20"/>
        </w:rPr>
      </w:pPr>
      <w:r w:rsidRPr="00412B8A">
        <w:rPr>
          <w:rFonts w:ascii="Verdana" w:hAnsi="Verdana" w:cs="Verdana"/>
          <w:sz w:val="20"/>
          <w:szCs w:val="20"/>
        </w:rPr>
        <w:t>Lee</w:t>
      </w:r>
      <w:r>
        <w:rPr>
          <w:rFonts w:ascii="Verdana" w:hAnsi="Verdana" w:cs="Verdana"/>
          <w:sz w:val="20"/>
          <w:szCs w:val="20"/>
        </w:rPr>
        <w:t>, H.L. &amp;</w:t>
      </w:r>
      <w:r w:rsidRPr="00412B8A">
        <w:rPr>
          <w:rFonts w:ascii="Verdana" w:hAnsi="Verdana" w:cs="Verdana"/>
          <w:sz w:val="20"/>
          <w:szCs w:val="20"/>
        </w:rPr>
        <w:t xml:space="preserve"> </w:t>
      </w:r>
      <w:proofErr w:type="spellStart"/>
      <w:r w:rsidRPr="00412B8A">
        <w:rPr>
          <w:rFonts w:ascii="Verdana" w:hAnsi="Verdana" w:cs="Verdana"/>
          <w:sz w:val="20"/>
          <w:szCs w:val="20"/>
        </w:rPr>
        <w:t>Billington</w:t>
      </w:r>
      <w:proofErr w:type="spellEnd"/>
      <w:r>
        <w:rPr>
          <w:rFonts w:ascii="Verdana" w:hAnsi="Verdana" w:cs="Verdana"/>
          <w:sz w:val="20"/>
          <w:szCs w:val="20"/>
        </w:rPr>
        <w:t>, C.,</w:t>
      </w:r>
      <w:r w:rsidRPr="00412B8A">
        <w:rPr>
          <w:rFonts w:ascii="Verdana" w:hAnsi="Verdana" w:cs="Verdana"/>
          <w:sz w:val="20"/>
          <w:szCs w:val="20"/>
        </w:rPr>
        <w:t xml:space="preserve"> (1993)</w:t>
      </w:r>
      <w:r>
        <w:rPr>
          <w:rFonts w:ascii="Verdana" w:hAnsi="Verdana" w:cs="Verdana"/>
          <w:sz w:val="20"/>
          <w:szCs w:val="20"/>
        </w:rPr>
        <w:t>,</w:t>
      </w:r>
      <w:r w:rsidRPr="00412B8A">
        <w:rPr>
          <w:rFonts w:ascii="Verdana" w:hAnsi="Verdana" w:cs="Verdana"/>
          <w:sz w:val="20"/>
          <w:szCs w:val="20"/>
        </w:rPr>
        <w:t xml:space="preserve"> “Material management in decentralised supply chains”, </w:t>
      </w:r>
      <w:r w:rsidRPr="00412B8A">
        <w:rPr>
          <w:rFonts w:ascii="Verdana" w:hAnsi="Verdana" w:cs="Verdana"/>
          <w:i/>
          <w:iCs/>
          <w:sz w:val="20"/>
          <w:szCs w:val="20"/>
        </w:rPr>
        <w:t>Operations Research</w:t>
      </w:r>
      <w:r w:rsidRPr="00412B8A">
        <w:rPr>
          <w:rFonts w:ascii="Verdana" w:hAnsi="Verdana" w:cs="Verdana"/>
          <w:sz w:val="20"/>
          <w:szCs w:val="20"/>
        </w:rPr>
        <w:t xml:space="preserve">, </w:t>
      </w:r>
      <w:r w:rsidRPr="00794AC7">
        <w:rPr>
          <w:rFonts w:ascii="Verdana" w:hAnsi="Verdana" w:cs="Verdana"/>
          <w:b/>
          <w:bCs/>
          <w:sz w:val="20"/>
          <w:szCs w:val="20"/>
        </w:rPr>
        <w:t>41</w:t>
      </w:r>
      <w:r>
        <w:rPr>
          <w:rFonts w:ascii="Verdana" w:hAnsi="Verdana" w:cs="Verdana"/>
          <w:sz w:val="20"/>
          <w:szCs w:val="20"/>
        </w:rPr>
        <w:t xml:space="preserve"> (</w:t>
      </w:r>
      <w:r w:rsidRPr="00412B8A">
        <w:rPr>
          <w:rFonts w:ascii="Verdana" w:hAnsi="Verdana" w:cs="Verdana"/>
          <w:sz w:val="20"/>
          <w:szCs w:val="20"/>
        </w:rPr>
        <w:t>5</w:t>
      </w:r>
      <w:r>
        <w:rPr>
          <w:rFonts w:ascii="Verdana" w:hAnsi="Verdana" w:cs="Verdana"/>
          <w:sz w:val="20"/>
          <w:szCs w:val="20"/>
        </w:rPr>
        <w:t>)</w:t>
      </w:r>
      <w:r w:rsidRPr="00412B8A">
        <w:rPr>
          <w:rFonts w:ascii="Verdana" w:hAnsi="Verdana" w:cs="Verdana"/>
          <w:sz w:val="20"/>
          <w:szCs w:val="20"/>
        </w:rPr>
        <w:t xml:space="preserve">, pp835-847. </w:t>
      </w:r>
    </w:p>
    <w:p w:rsidR="00454BC8" w:rsidRDefault="00454BC8" w:rsidP="00F86232">
      <w:pPr>
        <w:spacing w:after="0"/>
        <w:ind w:left="539" w:hanging="539"/>
        <w:jc w:val="both"/>
        <w:rPr>
          <w:rFonts w:ascii="Verdana" w:hAnsi="Verdana" w:cs="Verdana"/>
          <w:sz w:val="20"/>
          <w:szCs w:val="20"/>
        </w:rPr>
      </w:pPr>
      <w:r>
        <w:rPr>
          <w:rFonts w:ascii="Verdana" w:hAnsi="Verdana" w:cs="Verdana"/>
          <w:sz w:val="20"/>
          <w:szCs w:val="20"/>
        </w:rPr>
        <w:t>Lovell, A., Saw, R., &amp; Stimson, J.,</w:t>
      </w:r>
      <w:r w:rsidRPr="00203738">
        <w:rPr>
          <w:rFonts w:ascii="Verdana" w:hAnsi="Verdana" w:cs="Verdana"/>
          <w:sz w:val="20"/>
          <w:szCs w:val="20"/>
        </w:rPr>
        <w:t xml:space="preserve"> (2005)</w:t>
      </w:r>
      <w:r>
        <w:rPr>
          <w:rFonts w:ascii="Verdana" w:hAnsi="Verdana" w:cs="Verdana"/>
          <w:sz w:val="20"/>
          <w:szCs w:val="20"/>
        </w:rPr>
        <w:t>,</w:t>
      </w:r>
      <w:r w:rsidRPr="00203738">
        <w:rPr>
          <w:rFonts w:ascii="Verdana" w:hAnsi="Verdana" w:cs="Verdana"/>
          <w:sz w:val="20"/>
          <w:szCs w:val="20"/>
        </w:rPr>
        <w:t xml:space="preserve"> “Product value-density: managing diversi</w:t>
      </w:r>
      <w:r>
        <w:rPr>
          <w:rFonts w:ascii="Verdana" w:hAnsi="Verdana" w:cs="Verdana"/>
          <w:sz w:val="20"/>
          <w:szCs w:val="20"/>
        </w:rPr>
        <w:t>ty through supply chain segment</w:t>
      </w:r>
      <w:r w:rsidRPr="00203738">
        <w:rPr>
          <w:rFonts w:ascii="Verdana" w:hAnsi="Verdana" w:cs="Verdana"/>
          <w:sz w:val="20"/>
          <w:szCs w:val="20"/>
        </w:rPr>
        <w:t xml:space="preserve">ation”, </w:t>
      </w:r>
      <w:r w:rsidRPr="00203738">
        <w:rPr>
          <w:rFonts w:ascii="Verdana" w:hAnsi="Verdana" w:cs="Verdana"/>
          <w:i/>
          <w:iCs/>
          <w:sz w:val="20"/>
          <w:szCs w:val="20"/>
        </w:rPr>
        <w:t>International Journal of Logistics Management</w:t>
      </w:r>
      <w:r>
        <w:rPr>
          <w:rFonts w:ascii="Verdana" w:hAnsi="Verdana" w:cs="Verdana"/>
          <w:sz w:val="20"/>
          <w:szCs w:val="20"/>
        </w:rPr>
        <w:t xml:space="preserve">, </w:t>
      </w:r>
      <w:r w:rsidRPr="008F1B5F">
        <w:rPr>
          <w:rFonts w:ascii="Verdana" w:hAnsi="Verdana" w:cs="Verdana"/>
          <w:b/>
          <w:bCs/>
          <w:sz w:val="20"/>
          <w:szCs w:val="20"/>
        </w:rPr>
        <w:t>16</w:t>
      </w:r>
      <w:r>
        <w:rPr>
          <w:rFonts w:ascii="Verdana" w:hAnsi="Verdana" w:cs="Verdana"/>
          <w:sz w:val="20"/>
          <w:szCs w:val="20"/>
        </w:rPr>
        <w:t xml:space="preserve"> (1), </w:t>
      </w:r>
      <w:r w:rsidRPr="003D38A7">
        <w:rPr>
          <w:rFonts w:ascii="Verdana" w:hAnsi="Verdana" w:cs="Verdana"/>
          <w:color w:val="000000"/>
          <w:sz w:val="20"/>
          <w:szCs w:val="20"/>
        </w:rPr>
        <w:t>pp142-158.</w:t>
      </w:r>
    </w:p>
    <w:p w:rsidR="00454BC8" w:rsidRDefault="00454BC8" w:rsidP="00F86232">
      <w:pPr>
        <w:spacing w:after="0"/>
        <w:ind w:left="539" w:hanging="539"/>
        <w:jc w:val="both"/>
        <w:rPr>
          <w:rFonts w:ascii="Verdana" w:hAnsi="Verdana" w:cs="Verdana"/>
          <w:sz w:val="20"/>
          <w:szCs w:val="20"/>
        </w:rPr>
      </w:pPr>
      <w:r w:rsidRPr="0020150B">
        <w:rPr>
          <w:rFonts w:ascii="Verdana" w:hAnsi="Verdana" w:cs="Verdana"/>
          <w:sz w:val="20"/>
          <w:szCs w:val="20"/>
        </w:rPr>
        <w:t>McCullen, P.L.</w:t>
      </w:r>
      <w:r>
        <w:rPr>
          <w:rFonts w:ascii="Verdana" w:hAnsi="Verdana" w:cs="Verdana"/>
          <w:sz w:val="20"/>
          <w:szCs w:val="20"/>
        </w:rPr>
        <w:t xml:space="preserve"> &amp;</w:t>
      </w:r>
      <w:r w:rsidRPr="0020150B">
        <w:rPr>
          <w:rFonts w:ascii="Verdana" w:hAnsi="Verdana" w:cs="Verdana"/>
          <w:sz w:val="20"/>
          <w:szCs w:val="20"/>
        </w:rPr>
        <w:t xml:space="preserve"> Disney, S.M.</w:t>
      </w:r>
      <w:r>
        <w:rPr>
          <w:rFonts w:ascii="Verdana" w:hAnsi="Verdana" w:cs="Verdana"/>
          <w:sz w:val="20"/>
          <w:szCs w:val="20"/>
        </w:rPr>
        <w:t>,</w:t>
      </w:r>
      <w:r w:rsidRPr="0020150B">
        <w:rPr>
          <w:rFonts w:ascii="Verdana" w:hAnsi="Verdana" w:cs="Verdana"/>
          <w:sz w:val="20"/>
          <w:szCs w:val="20"/>
        </w:rPr>
        <w:t xml:space="preserve"> (2008)</w:t>
      </w:r>
      <w:r>
        <w:rPr>
          <w:rFonts w:ascii="Verdana" w:hAnsi="Verdana" w:cs="Verdana"/>
          <w:sz w:val="20"/>
          <w:szCs w:val="20"/>
        </w:rPr>
        <w:t>,</w:t>
      </w:r>
      <w:r w:rsidRPr="0020150B">
        <w:rPr>
          <w:rFonts w:ascii="Verdana" w:hAnsi="Verdana" w:cs="Verdana"/>
          <w:sz w:val="20"/>
          <w:szCs w:val="20"/>
        </w:rPr>
        <w:t xml:space="preserve"> “Dynamic Supply Design: Integrating Inventory</w:t>
      </w:r>
      <w:r>
        <w:rPr>
          <w:rFonts w:ascii="Verdana" w:hAnsi="Verdana" w:cs="Verdana"/>
          <w:sz w:val="20"/>
          <w:szCs w:val="20"/>
        </w:rPr>
        <w:t xml:space="preserve"> &amp;</w:t>
      </w:r>
      <w:r w:rsidRPr="0020150B">
        <w:rPr>
          <w:rFonts w:ascii="Verdana" w:hAnsi="Verdana" w:cs="Verdana"/>
          <w:sz w:val="20"/>
          <w:szCs w:val="20"/>
        </w:rPr>
        <w:t xml:space="preserve"> Transportation Modelling”, Annual Conference of the Operational Research Society, 9</w:t>
      </w:r>
      <w:r w:rsidRPr="0020150B">
        <w:rPr>
          <w:rFonts w:ascii="Verdana" w:hAnsi="Verdana" w:cs="Verdana"/>
          <w:sz w:val="20"/>
          <w:szCs w:val="20"/>
          <w:vertAlign w:val="superscript"/>
        </w:rPr>
        <w:t>th</w:t>
      </w:r>
      <w:r w:rsidRPr="0020150B">
        <w:rPr>
          <w:rFonts w:ascii="Verdana" w:hAnsi="Verdana" w:cs="Verdana"/>
          <w:sz w:val="20"/>
          <w:szCs w:val="20"/>
        </w:rPr>
        <w:t>-11</w:t>
      </w:r>
      <w:r w:rsidRPr="0020150B">
        <w:rPr>
          <w:rFonts w:ascii="Verdana" w:hAnsi="Verdana" w:cs="Verdana"/>
          <w:sz w:val="20"/>
          <w:szCs w:val="20"/>
          <w:vertAlign w:val="superscript"/>
        </w:rPr>
        <w:t>th</w:t>
      </w:r>
      <w:r w:rsidRPr="0020150B">
        <w:rPr>
          <w:rFonts w:ascii="Verdana" w:hAnsi="Verdana" w:cs="Verdana"/>
          <w:sz w:val="20"/>
          <w:szCs w:val="20"/>
        </w:rPr>
        <w:t xml:space="preserve"> Sept, York.</w:t>
      </w:r>
    </w:p>
    <w:p w:rsidR="00454BC8" w:rsidRDefault="00454BC8" w:rsidP="00F86232">
      <w:pPr>
        <w:spacing w:after="0"/>
        <w:ind w:left="539" w:hanging="539"/>
        <w:jc w:val="both"/>
        <w:rPr>
          <w:rFonts w:ascii="Verdana" w:hAnsi="Verdana" w:cs="Verdana"/>
          <w:sz w:val="20"/>
          <w:szCs w:val="20"/>
        </w:rPr>
      </w:pPr>
      <w:proofErr w:type="spellStart"/>
      <w:r>
        <w:rPr>
          <w:rFonts w:ascii="Verdana" w:hAnsi="Verdana" w:cs="Verdana"/>
          <w:sz w:val="20"/>
          <w:szCs w:val="20"/>
        </w:rPr>
        <w:t>Pidd</w:t>
      </w:r>
      <w:proofErr w:type="spellEnd"/>
      <w:r>
        <w:rPr>
          <w:rFonts w:ascii="Verdana" w:hAnsi="Verdana" w:cs="Verdana"/>
          <w:sz w:val="20"/>
          <w:szCs w:val="20"/>
        </w:rPr>
        <w:t xml:space="preserve">, M., (2006), </w:t>
      </w:r>
      <w:r w:rsidRPr="003D38A7">
        <w:rPr>
          <w:rFonts w:ascii="Verdana" w:hAnsi="Verdana" w:cs="Verdana"/>
          <w:i/>
          <w:iCs/>
          <w:sz w:val="20"/>
          <w:szCs w:val="20"/>
        </w:rPr>
        <w:t>Computer Simulation in Management Science</w:t>
      </w:r>
      <w:r>
        <w:rPr>
          <w:rFonts w:ascii="Verdana" w:hAnsi="Verdana" w:cs="Verdana"/>
          <w:sz w:val="20"/>
          <w:szCs w:val="20"/>
        </w:rPr>
        <w:t>, Wiley,</w:t>
      </w:r>
      <w:r w:rsidRPr="003D38A7">
        <w:rPr>
          <w:rFonts w:ascii="Verdana" w:hAnsi="Verdana" w:cs="Verdana"/>
          <w:sz w:val="20"/>
          <w:szCs w:val="20"/>
        </w:rPr>
        <w:t xml:space="preserve"> </w:t>
      </w:r>
      <w:r>
        <w:rPr>
          <w:rFonts w:ascii="Verdana" w:hAnsi="Verdana" w:cs="Verdana"/>
          <w:sz w:val="20"/>
          <w:szCs w:val="20"/>
        </w:rPr>
        <w:t>Chichester, UK.</w:t>
      </w:r>
    </w:p>
    <w:p w:rsidR="00454BC8" w:rsidRPr="0020150B" w:rsidRDefault="00454BC8" w:rsidP="00F86232">
      <w:pPr>
        <w:spacing w:after="0"/>
        <w:ind w:left="539" w:hanging="539"/>
        <w:jc w:val="both"/>
        <w:rPr>
          <w:rFonts w:ascii="Verdana" w:hAnsi="Verdana" w:cs="Verdana"/>
          <w:sz w:val="20"/>
          <w:szCs w:val="20"/>
        </w:rPr>
      </w:pPr>
      <w:proofErr w:type="spellStart"/>
      <w:r w:rsidRPr="00095B01">
        <w:rPr>
          <w:rFonts w:ascii="Verdana" w:hAnsi="Verdana" w:cs="Verdana"/>
          <w:sz w:val="20"/>
          <w:szCs w:val="20"/>
        </w:rPr>
        <w:t>Ratanachote</w:t>
      </w:r>
      <w:proofErr w:type="spellEnd"/>
      <w:r w:rsidRPr="00095B01">
        <w:rPr>
          <w:rFonts w:ascii="Verdana" w:hAnsi="Verdana" w:cs="Verdana"/>
          <w:sz w:val="20"/>
          <w:szCs w:val="20"/>
        </w:rPr>
        <w:t>, P.</w:t>
      </w:r>
      <w:r>
        <w:rPr>
          <w:rFonts w:ascii="Verdana" w:hAnsi="Verdana" w:cs="Verdana"/>
          <w:sz w:val="20"/>
          <w:szCs w:val="20"/>
        </w:rPr>
        <w:t xml:space="preserve"> &amp;</w:t>
      </w:r>
      <w:r w:rsidRPr="00095B01">
        <w:rPr>
          <w:rFonts w:ascii="Verdana" w:hAnsi="Verdana" w:cs="Verdana"/>
          <w:sz w:val="20"/>
          <w:szCs w:val="20"/>
        </w:rPr>
        <w:t xml:space="preserve"> Disney, S.M., (2008), “On the square root law for bullwhip: The case of arbitrary lead-times</w:t>
      </w:r>
      <w:r>
        <w:rPr>
          <w:rFonts w:ascii="Verdana" w:hAnsi="Verdana" w:cs="Verdana"/>
          <w:sz w:val="20"/>
          <w:szCs w:val="20"/>
        </w:rPr>
        <w:t xml:space="preserve"> &amp;</w:t>
      </w:r>
      <w:r w:rsidRPr="00095B01">
        <w:rPr>
          <w:rFonts w:ascii="Verdana" w:hAnsi="Verdana" w:cs="Verdana"/>
          <w:sz w:val="20"/>
          <w:szCs w:val="20"/>
        </w:rPr>
        <w:t xml:space="preserve"> AR(1) demand”, in </w:t>
      </w:r>
      <w:proofErr w:type="spellStart"/>
      <w:r w:rsidRPr="00095B01">
        <w:rPr>
          <w:rFonts w:ascii="Verdana" w:hAnsi="Verdana" w:cs="Verdana"/>
          <w:sz w:val="20"/>
          <w:szCs w:val="20"/>
        </w:rPr>
        <w:t>Grubbström</w:t>
      </w:r>
      <w:proofErr w:type="spellEnd"/>
      <w:r w:rsidRPr="00095B01">
        <w:rPr>
          <w:rFonts w:ascii="Verdana" w:hAnsi="Verdana" w:cs="Verdana"/>
          <w:sz w:val="20"/>
          <w:szCs w:val="20"/>
        </w:rPr>
        <w:t xml:space="preserve">, R.W., </w:t>
      </w:r>
      <w:proofErr w:type="spellStart"/>
      <w:r w:rsidRPr="00095B01">
        <w:rPr>
          <w:rFonts w:ascii="Verdana" w:hAnsi="Verdana" w:cs="Verdana"/>
          <w:sz w:val="20"/>
          <w:szCs w:val="20"/>
        </w:rPr>
        <w:t>Hinterhuber</w:t>
      </w:r>
      <w:proofErr w:type="spellEnd"/>
      <w:r w:rsidRPr="00095B01">
        <w:rPr>
          <w:rFonts w:ascii="Verdana" w:hAnsi="Verdana" w:cs="Verdana"/>
          <w:sz w:val="20"/>
          <w:szCs w:val="20"/>
        </w:rPr>
        <w:t>, H.H., (</w:t>
      </w:r>
      <w:proofErr w:type="spellStart"/>
      <w:r w:rsidRPr="00095B01">
        <w:rPr>
          <w:rFonts w:ascii="Verdana" w:hAnsi="Verdana" w:cs="Verdana"/>
          <w:sz w:val="20"/>
          <w:szCs w:val="20"/>
        </w:rPr>
        <w:t>Eds</w:t>
      </w:r>
      <w:proofErr w:type="spellEnd"/>
      <w:r w:rsidRPr="00095B01">
        <w:rPr>
          <w:rFonts w:ascii="Verdana" w:hAnsi="Verdana" w:cs="Verdana"/>
          <w:sz w:val="20"/>
          <w:szCs w:val="20"/>
        </w:rPr>
        <w:t xml:space="preserve">), </w:t>
      </w:r>
      <w:r w:rsidRPr="0084601E">
        <w:rPr>
          <w:rFonts w:ascii="Verdana" w:hAnsi="Verdana" w:cs="Verdana"/>
          <w:i/>
          <w:iCs/>
          <w:sz w:val="20"/>
          <w:szCs w:val="20"/>
        </w:rPr>
        <w:t>Pre-prints of the 15th International Working Seminar of Production Economics</w:t>
      </w:r>
      <w:r>
        <w:rPr>
          <w:rFonts w:ascii="Verdana" w:hAnsi="Verdana" w:cs="Verdana"/>
          <w:sz w:val="20"/>
          <w:szCs w:val="20"/>
        </w:rPr>
        <w:t>, Innsbruck, Austria, Mar</w:t>
      </w:r>
      <w:r w:rsidRPr="00095B01">
        <w:rPr>
          <w:rFonts w:ascii="Verdana" w:hAnsi="Verdana" w:cs="Verdana"/>
          <w:sz w:val="20"/>
          <w:szCs w:val="20"/>
        </w:rPr>
        <w:t xml:space="preserve"> 3</w:t>
      </w:r>
      <w:r w:rsidRPr="00843B1F">
        <w:rPr>
          <w:rFonts w:ascii="Verdana" w:hAnsi="Verdana" w:cs="Verdana"/>
          <w:sz w:val="20"/>
          <w:szCs w:val="20"/>
          <w:vertAlign w:val="superscript"/>
        </w:rPr>
        <w:t>rd</w:t>
      </w:r>
      <w:r w:rsidRPr="00095B01">
        <w:rPr>
          <w:rFonts w:ascii="Verdana" w:hAnsi="Verdana" w:cs="Verdana"/>
          <w:sz w:val="20"/>
          <w:szCs w:val="20"/>
        </w:rPr>
        <w:t>-7</w:t>
      </w:r>
      <w:r w:rsidRPr="00843B1F">
        <w:rPr>
          <w:rFonts w:ascii="Verdana" w:hAnsi="Verdana" w:cs="Verdana"/>
          <w:sz w:val="20"/>
          <w:szCs w:val="20"/>
          <w:vertAlign w:val="superscript"/>
        </w:rPr>
        <w:t>th</w:t>
      </w:r>
      <w:r>
        <w:rPr>
          <w:rFonts w:ascii="Verdana" w:hAnsi="Verdana" w:cs="Verdana"/>
          <w:sz w:val="20"/>
          <w:szCs w:val="20"/>
        </w:rPr>
        <w:t xml:space="preserve"> </w:t>
      </w:r>
      <w:r w:rsidRPr="00095B01">
        <w:rPr>
          <w:rFonts w:ascii="Verdana" w:hAnsi="Verdana" w:cs="Verdana"/>
          <w:sz w:val="20"/>
          <w:szCs w:val="20"/>
        </w:rPr>
        <w:t>, pp199-212.</w:t>
      </w:r>
    </w:p>
    <w:sectPr w:rsidR="00454BC8" w:rsidRPr="0020150B" w:rsidSect="00B0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9007A4"/>
    <w:lvl w:ilvl="0">
      <w:start w:val="1"/>
      <w:numFmt w:val="decimal"/>
      <w:lvlText w:val="%1."/>
      <w:lvlJc w:val="left"/>
      <w:pPr>
        <w:tabs>
          <w:tab w:val="num" w:pos="1492"/>
        </w:tabs>
        <w:ind w:left="1492" w:hanging="360"/>
      </w:pPr>
    </w:lvl>
  </w:abstractNum>
  <w:abstractNum w:abstractNumId="1">
    <w:nsid w:val="FFFFFF7D"/>
    <w:multiLevelType w:val="singleLevel"/>
    <w:tmpl w:val="AF7226BA"/>
    <w:lvl w:ilvl="0">
      <w:start w:val="1"/>
      <w:numFmt w:val="decimal"/>
      <w:lvlText w:val="%1."/>
      <w:lvlJc w:val="left"/>
      <w:pPr>
        <w:tabs>
          <w:tab w:val="num" w:pos="1209"/>
        </w:tabs>
        <w:ind w:left="1209" w:hanging="360"/>
      </w:pPr>
    </w:lvl>
  </w:abstractNum>
  <w:abstractNum w:abstractNumId="2">
    <w:nsid w:val="FFFFFF7E"/>
    <w:multiLevelType w:val="singleLevel"/>
    <w:tmpl w:val="D6E48528"/>
    <w:lvl w:ilvl="0">
      <w:start w:val="1"/>
      <w:numFmt w:val="decimal"/>
      <w:lvlText w:val="%1."/>
      <w:lvlJc w:val="left"/>
      <w:pPr>
        <w:tabs>
          <w:tab w:val="num" w:pos="926"/>
        </w:tabs>
        <w:ind w:left="926" w:hanging="360"/>
      </w:pPr>
    </w:lvl>
  </w:abstractNum>
  <w:abstractNum w:abstractNumId="3">
    <w:nsid w:val="FFFFFF7F"/>
    <w:multiLevelType w:val="singleLevel"/>
    <w:tmpl w:val="E6ACE256"/>
    <w:lvl w:ilvl="0">
      <w:start w:val="1"/>
      <w:numFmt w:val="decimal"/>
      <w:lvlText w:val="%1."/>
      <w:lvlJc w:val="left"/>
      <w:pPr>
        <w:tabs>
          <w:tab w:val="num" w:pos="643"/>
        </w:tabs>
        <w:ind w:left="643" w:hanging="360"/>
      </w:pPr>
    </w:lvl>
  </w:abstractNum>
  <w:abstractNum w:abstractNumId="4">
    <w:nsid w:val="FFFFFF80"/>
    <w:multiLevelType w:val="singleLevel"/>
    <w:tmpl w:val="A0100ED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24C348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27C5A2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854C7A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B766256"/>
    <w:lvl w:ilvl="0">
      <w:start w:val="1"/>
      <w:numFmt w:val="decimal"/>
      <w:lvlText w:val="%1."/>
      <w:lvlJc w:val="left"/>
      <w:pPr>
        <w:tabs>
          <w:tab w:val="num" w:pos="360"/>
        </w:tabs>
        <w:ind w:left="360" w:hanging="360"/>
      </w:pPr>
    </w:lvl>
  </w:abstractNum>
  <w:abstractNum w:abstractNumId="9">
    <w:nsid w:val="FFFFFF89"/>
    <w:multiLevelType w:val="singleLevel"/>
    <w:tmpl w:val="6510A0E2"/>
    <w:lvl w:ilvl="0">
      <w:start w:val="1"/>
      <w:numFmt w:val="bullet"/>
      <w:lvlText w:val=""/>
      <w:lvlJc w:val="left"/>
      <w:pPr>
        <w:tabs>
          <w:tab w:val="num" w:pos="360"/>
        </w:tabs>
        <w:ind w:left="360" w:hanging="360"/>
      </w:pPr>
      <w:rPr>
        <w:rFonts w:ascii="Symbol" w:hAnsi="Symbol" w:cs="Symbol" w:hint="default"/>
      </w:rPr>
    </w:lvl>
  </w:abstractNum>
  <w:abstractNum w:abstractNumId="10">
    <w:nsid w:val="44BD3EBC"/>
    <w:multiLevelType w:val="hybridMultilevel"/>
    <w:tmpl w:val="E23003E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65D4464C"/>
    <w:multiLevelType w:val="hybridMultilevel"/>
    <w:tmpl w:val="4C84B774"/>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12">
    <w:nsid w:val="660E6CD2"/>
    <w:multiLevelType w:val="hybridMultilevel"/>
    <w:tmpl w:val="A09AD06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A080C1D"/>
    <w:multiLevelType w:val="hybridMultilevel"/>
    <w:tmpl w:val="E4E002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E9"/>
    <w:rsid w:val="00003262"/>
    <w:rsid w:val="00021306"/>
    <w:rsid w:val="0004192B"/>
    <w:rsid w:val="00050E03"/>
    <w:rsid w:val="000521F4"/>
    <w:rsid w:val="00053AF8"/>
    <w:rsid w:val="000670F3"/>
    <w:rsid w:val="00095B01"/>
    <w:rsid w:val="000C740A"/>
    <w:rsid w:val="000E107A"/>
    <w:rsid w:val="000E5817"/>
    <w:rsid w:val="00110FD9"/>
    <w:rsid w:val="0011135D"/>
    <w:rsid w:val="00111EBD"/>
    <w:rsid w:val="00134FAE"/>
    <w:rsid w:val="00136978"/>
    <w:rsid w:val="001579DF"/>
    <w:rsid w:val="00173EEB"/>
    <w:rsid w:val="001755FB"/>
    <w:rsid w:val="001772C8"/>
    <w:rsid w:val="00183D5D"/>
    <w:rsid w:val="00190D7B"/>
    <w:rsid w:val="00196A1C"/>
    <w:rsid w:val="001B1AC1"/>
    <w:rsid w:val="001D2DBD"/>
    <w:rsid w:val="001D6F12"/>
    <w:rsid w:val="001E0C80"/>
    <w:rsid w:val="0020150B"/>
    <w:rsid w:val="00203738"/>
    <w:rsid w:val="002077B1"/>
    <w:rsid w:val="00216863"/>
    <w:rsid w:val="00231137"/>
    <w:rsid w:val="002320C4"/>
    <w:rsid w:val="00233F94"/>
    <w:rsid w:val="00261BE9"/>
    <w:rsid w:val="00270A5F"/>
    <w:rsid w:val="00273E2C"/>
    <w:rsid w:val="0027502C"/>
    <w:rsid w:val="00283EE2"/>
    <w:rsid w:val="0028635D"/>
    <w:rsid w:val="002A1533"/>
    <w:rsid w:val="002A2A2D"/>
    <w:rsid w:val="002B03FE"/>
    <w:rsid w:val="002D127A"/>
    <w:rsid w:val="002D367C"/>
    <w:rsid w:val="002D3862"/>
    <w:rsid w:val="002E27BE"/>
    <w:rsid w:val="00303A34"/>
    <w:rsid w:val="00324E87"/>
    <w:rsid w:val="00333CE3"/>
    <w:rsid w:val="00336387"/>
    <w:rsid w:val="00342BF6"/>
    <w:rsid w:val="003438CA"/>
    <w:rsid w:val="003445A3"/>
    <w:rsid w:val="00351755"/>
    <w:rsid w:val="00353403"/>
    <w:rsid w:val="0035451A"/>
    <w:rsid w:val="00367D19"/>
    <w:rsid w:val="0037305E"/>
    <w:rsid w:val="00373B69"/>
    <w:rsid w:val="00383356"/>
    <w:rsid w:val="00383832"/>
    <w:rsid w:val="00385D38"/>
    <w:rsid w:val="003A53AE"/>
    <w:rsid w:val="003C4ABD"/>
    <w:rsid w:val="003C7D0D"/>
    <w:rsid w:val="003D1AD5"/>
    <w:rsid w:val="003D38A7"/>
    <w:rsid w:val="003E102E"/>
    <w:rsid w:val="003E34DD"/>
    <w:rsid w:val="003E626A"/>
    <w:rsid w:val="004005DA"/>
    <w:rsid w:val="004041E4"/>
    <w:rsid w:val="00406CF8"/>
    <w:rsid w:val="00412B8A"/>
    <w:rsid w:val="00413A2F"/>
    <w:rsid w:val="00435A89"/>
    <w:rsid w:val="00436C4E"/>
    <w:rsid w:val="00454BC8"/>
    <w:rsid w:val="004573D1"/>
    <w:rsid w:val="004601F5"/>
    <w:rsid w:val="0047135E"/>
    <w:rsid w:val="00476329"/>
    <w:rsid w:val="004813F5"/>
    <w:rsid w:val="004818E8"/>
    <w:rsid w:val="00487623"/>
    <w:rsid w:val="004924B2"/>
    <w:rsid w:val="004961C7"/>
    <w:rsid w:val="004A3515"/>
    <w:rsid w:val="004A5432"/>
    <w:rsid w:val="004C0544"/>
    <w:rsid w:val="004C1491"/>
    <w:rsid w:val="004C1C22"/>
    <w:rsid w:val="004E14B6"/>
    <w:rsid w:val="004E7707"/>
    <w:rsid w:val="005149B6"/>
    <w:rsid w:val="00556029"/>
    <w:rsid w:val="00560EA9"/>
    <w:rsid w:val="005638D0"/>
    <w:rsid w:val="0056749C"/>
    <w:rsid w:val="00587382"/>
    <w:rsid w:val="005A1CA0"/>
    <w:rsid w:val="005A676E"/>
    <w:rsid w:val="005C4E80"/>
    <w:rsid w:val="005C7424"/>
    <w:rsid w:val="005D0D76"/>
    <w:rsid w:val="005E34B1"/>
    <w:rsid w:val="005E50EF"/>
    <w:rsid w:val="005E6ED2"/>
    <w:rsid w:val="005F4C19"/>
    <w:rsid w:val="006069A2"/>
    <w:rsid w:val="00607E3F"/>
    <w:rsid w:val="00617FA2"/>
    <w:rsid w:val="0062002B"/>
    <w:rsid w:val="00632D51"/>
    <w:rsid w:val="00633511"/>
    <w:rsid w:val="00646C56"/>
    <w:rsid w:val="00653D94"/>
    <w:rsid w:val="00654C29"/>
    <w:rsid w:val="00656C1B"/>
    <w:rsid w:val="006747E7"/>
    <w:rsid w:val="00675BBA"/>
    <w:rsid w:val="00692193"/>
    <w:rsid w:val="006A57FF"/>
    <w:rsid w:val="006C13E9"/>
    <w:rsid w:val="006D7987"/>
    <w:rsid w:val="006E475F"/>
    <w:rsid w:val="006F49EB"/>
    <w:rsid w:val="007442A4"/>
    <w:rsid w:val="00763D9F"/>
    <w:rsid w:val="00771D58"/>
    <w:rsid w:val="00776670"/>
    <w:rsid w:val="007766F9"/>
    <w:rsid w:val="00794AC7"/>
    <w:rsid w:val="007974A9"/>
    <w:rsid w:val="007A0BA5"/>
    <w:rsid w:val="007B3B37"/>
    <w:rsid w:val="007C04E4"/>
    <w:rsid w:val="007E75DB"/>
    <w:rsid w:val="0080565F"/>
    <w:rsid w:val="00831F16"/>
    <w:rsid w:val="00836591"/>
    <w:rsid w:val="00840247"/>
    <w:rsid w:val="008414C9"/>
    <w:rsid w:val="00843B1F"/>
    <w:rsid w:val="0084601E"/>
    <w:rsid w:val="008504DF"/>
    <w:rsid w:val="008540B9"/>
    <w:rsid w:val="0085540D"/>
    <w:rsid w:val="00875595"/>
    <w:rsid w:val="008764A2"/>
    <w:rsid w:val="00877588"/>
    <w:rsid w:val="00881356"/>
    <w:rsid w:val="00890E2A"/>
    <w:rsid w:val="008C25DA"/>
    <w:rsid w:val="008F1B5F"/>
    <w:rsid w:val="008F4A43"/>
    <w:rsid w:val="008F5274"/>
    <w:rsid w:val="00901FB2"/>
    <w:rsid w:val="0090464E"/>
    <w:rsid w:val="00910FE9"/>
    <w:rsid w:val="00931A65"/>
    <w:rsid w:val="0095770F"/>
    <w:rsid w:val="00961198"/>
    <w:rsid w:val="009619E6"/>
    <w:rsid w:val="00961D85"/>
    <w:rsid w:val="0096774F"/>
    <w:rsid w:val="0097040F"/>
    <w:rsid w:val="009713C6"/>
    <w:rsid w:val="0098681D"/>
    <w:rsid w:val="0099022D"/>
    <w:rsid w:val="009A0208"/>
    <w:rsid w:val="009A41E2"/>
    <w:rsid w:val="009B24DE"/>
    <w:rsid w:val="009E534A"/>
    <w:rsid w:val="009F487A"/>
    <w:rsid w:val="00A010F8"/>
    <w:rsid w:val="00A04D16"/>
    <w:rsid w:val="00A10F14"/>
    <w:rsid w:val="00A16A4F"/>
    <w:rsid w:val="00A215DA"/>
    <w:rsid w:val="00A2480A"/>
    <w:rsid w:val="00A24F1D"/>
    <w:rsid w:val="00A26F3D"/>
    <w:rsid w:val="00A278AB"/>
    <w:rsid w:val="00A35A85"/>
    <w:rsid w:val="00A37A2D"/>
    <w:rsid w:val="00A56ABD"/>
    <w:rsid w:val="00A57438"/>
    <w:rsid w:val="00A67848"/>
    <w:rsid w:val="00A80A88"/>
    <w:rsid w:val="00A841D8"/>
    <w:rsid w:val="00A95F14"/>
    <w:rsid w:val="00AA0474"/>
    <w:rsid w:val="00AB7D62"/>
    <w:rsid w:val="00AC37A2"/>
    <w:rsid w:val="00AD153D"/>
    <w:rsid w:val="00AD2494"/>
    <w:rsid w:val="00AD2AD2"/>
    <w:rsid w:val="00AD3B59"/>
    <w:rsid w:val="00AD4991"/>
    <w:rsid w:val="00AE1161"/>
    <w:rsid w:val="00AE27CC"/>
    <w:rsid w:val="00AE3CAC"/>
    <w:rsid w:val="00AE6F6C"/>
    <w:rsid w:val="00AE7086"/>
    <w:rsid w:val="00AF1671"/>
    <w:rsid w:val="00AF2DF5"/>
    <w:rsid w:val="00B0157A"/>
    <w:rsid w:val="00B06807"/>
    <w:rsid w:val="00B10FED"/>
    <w:rsid w:val="00B13C8B"/>
    <w:rsid w:val="00B150EB"/>
    <w:rsid w:val="00B34173"/>
    <w:rsid w:val="00B36A39"/>
    <w:rsid w:val="00B41278"/>
    <w:rsid w:val="00B7137C"/>
    <w:rsid w:val="00B71DBD"/>
    <w:rsid w:val="00B74972"/>
    <w:rsid w:val="00B8004C"/>
    <w:rsid w:val="00B8080C"/>
    <w:rsid w:val="00BB1CAB"/>
    <w:rsid w:val="00BB2FDF"/>
    <w:rsid w:val="00BC11CD"/>
    <w:rsid w:val="00BD7EDC"/>
    <w:rsid w:val="00BE2EBF"/>
    <w:rsid w:val="00BE4113"/>
    <w:rsid w:val="00BE52A0"/>
    <w:rsid w:val="00C0786E"/>
    <w:rsid w:val="00C20DA3"/>
    <w:rsid w:val="00C22C33"/>
    <w:rsid w:val="00C33CB4"/>
    <w:rsid w:val="00C375F6"/>
    <w:rsid w:val="00C40F54"/>
    <w:rsid w:val="00C570B8"/>
    <w:rsid w:val="00C60C35"/>
    <w:rsid w:val="00C706AC"/>
    <w:rsid w:val="00CC06D3"/>
    <w:rsid w:val="00CD564A"/>
    <w:rsid w:val="00CE2FAE"/>
    <w:rsid w:val="00CE7B93"/>
    <w:rsid w:val="00CF1B4E"/>
    <w:rsid w:val="00CF4CD2"/>
    <w:rsid w:val="00D1622D"/>
    <w:rsid w:val="00D25B32"/>
    <w:rsid w:val="00D268AB"/>
    <w:rsid w:val="00D30BCB"/>
    <w:rsid w:val="00D34FCC"/>
    <w:rsid w:val="00D358E2"/>
    <w:rsid w:val="00D41BD1"/>
    <w:rsid w:val="00D43EE9"/>
    <w:rsid w:val="00D473DF"/>
    <w:rsid w:val="00D722D7"/>
    <w:rsid w:val="00D86861"/>
    <w:rsid w:val="00D87924"/>
    <w:rsid w:val="00D9402F"/>
    <w:rsid w:val="00DB413E"/>
    <w:rsid w:val="00DC4FFE"/>
    <w:rsid w:val="00DC6BDC"/>
    <w:rsid w:val="00DC7949"/>
    <w:rsid w:val="00DD2A84"/>
    <w:rsid w:val="00DE5456"/>
    <w:rsid w:val="00DE702F"/>
    <w:rsid w:val="00DF4EEB"/>
    <w:rsid w:val="00E1283A"/>
    <w:rsid w:val="00E203E0"/>
    <w:rsid w:val="00E20939"/>
    <w:rsid w:val="00E24B49"/>
    <w:rsid w:val="00E425DF"/>
    <w:rsid w:val="00E43188"/>
    <w:rsid w:val="00E45C08"/>
    <w:rsid w:val="00E45CD8"/>
    <w:rsid w:val="00E561E7"/>
    <w:rsid w:val="00E56BD0"/>
    <w:rsid w:val="00E64827"/>
    <w:rsid w:val="00E70EB8"/>
    <w:rsid w:val="00E77B16"/>
    <w:rsid w:val="00E77D7D"/>
    <w:rsid w:val="00E905F0"/>
    <w:rsid w:val="00E92905"/>
    <w:rsid w:val="00E963C9"/>
    <w:rsid w:val="00EB7AAA"/>
    <w:rsid w:val="00ED1BE5"/>
    <w:rsid w:val="00ED4CFA"/>
    <w:rsid w:val="00F06178"/>
    <w:rsid w:val="00F07C05"/>
    <w:rsid w:val="00F14325"/>
    <w:rsid w:val="00F27CAA"/>
    <w:rsid w:val="00F318A8"/>
    <w:rsid w:val="00F452E0"/>
    <w:rsid w:val="00F51DE0"/>
    <w:rsid w:val="00F56B19"/>
    <w:rsid w:val="00F609B9"/>
    <w:rsid w:val="00F86232"/>
    <w:rsid w:val="00F927F2"/>
    <w:rsid w:val="00F93F71"/>
    <w:rsid w:val="00F96447"/>
    <w:rsid w:val="00FA4E4E"/>
    <w:rsid w:val="00FA62B1"/>
    <w:rsid w:val="00FB2462"/>
    <w:rsid w:val="00FB5299"/>
    <w:rsid w:val="00FB5AA6"/>
    <w:rsid w:val="00FC2C7C"/>
    <w:rsid w:val="00FD0BCF"/>
    <w:rsid w:val="00FD3E85"/>
    <w:rsid w:val="00FD5C12"/>
    <w:rsid w:val="00FE68AE"/>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7A"/>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6863"/>
    <w:pPr>
      <w:ind w:left="720"/>
      <w:contextualSpacing/>
    </w:pPr>
  </w:style>
  <w:style w:type="character" w:styleId="Hyperlink">
    <w:name w:val="Hyperlink"/>
    <w:basedOn w:val="DefaultParagraphFont"/>
    <w:uiPriority w:val="99"/>
    <w:rsid w:val="00173EEB"/>
    <w:rPr>
      <w:color w:val="0000FF"/>
      <w:u w:val="single"/>
    </w:rPr>
  </w:style>
  <w:style w:type="paragraph" w:styleId="BalloonText">
    <w:name w:val="Balloon Text"/>
    <w:basedOn w:val="Normal"/>
    <w:link w:val="BalloonTextChar"/>
    <w:uiPriority w:val="99"/>
    <w:semiHidden/>
    <w:rsid w:val="006E4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5F"/>
    <w:rPr>
      <w:rFonts w:ascii="Tahoma" w:hAnsi="Tahoma" w:cs="Tahoma"/>
      <w:sz w:val="16"/>
      <w:szCs w:val="16"/>
    </w:rPr>
  </w:style>
  <w:style w:type="character" w:customStyle="1" w:styleId="MathematicaFormatStandardForm">
    <w:name w:val="MathematicaFormatStandardForm"/>
    <w:uiPriority w:val="99"/>
    <w:rsid w:val="00436C4E"/>
    <w:rPr>
      <w:rFonts w:ascii="Courier" w:hAnsi="Courier" w:cs="Courier"/>
    </w:rPr>
  </w:style>
  <w:style w:type="paragraph" w:styleId="Caption">
    <w:name w:val="caption"/>
    <w:basedOn w:val="Normal"/>
    <w:next w:val="Normal"/>
    <w:uiPriority w:val="99"/>
    <w:qFormat/>
    <w:rsid w:val="00436C4E"/>
    <w:pPr>
      <w:spacing w:after="0" w:line="240" w:lineRule="auto"/>
    </w:pPr>
    <w:rPr>
      <w:rFonts w:ascii="Times New Roman" w:eastAsia="MS Mincho" w:hAnsi="Times New Roman" w:cs="Times New Roman"/>
      <w:b/>
      <w:bCs/>
      <w:sz w:val="20"/>
      <w:szCs w:val="20"/>
      <w:lang w:eastAsia="ja-JP"/>
    </w:rPr>
  </w:style>
  <w:style w:type="table" w:styleId="TableGrid">
    <w:name w:val="Table Grid"/>
    <w:basedOn w:val="TableNormal"/>
    <w:uiPriority w:val="99"/>
    <w:rsid w:val="00095B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270A5F"/>
    <w:rPr>
      <w:rFonts w:ascii="Verdana" w:hAnsi="Verdana" w:cs="Verdana"/>
      <w:b/>
      <w:bCs/>
      <w:caps/>
      <w:vanish/>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7A"/>
    <w:pPr>
      <w:spacing w:after="200" w:line="276"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6863"/>
    <w:pPr>
      <w:ind w:left="720"/>
      <w:contextualSpacing/>
    </w:pPr>
  </w:style>
  <w:style w:type="character" w:styleId="Hyperlink">
    <w:name w:val="Hyperlink"/>
    <w:basedOn w:val="DefaultParagraphFont"/>
    <w:uiPriority w:val="99"/>
    <w:rsid w:val="00173EEB"/>
    <w:rPr>
      <w:color w:val="0000FF"/>
      <w:u w:val="single"/>
    </w:rPr>
  </w:style>
  <w:style w:type="paragraph" w:styleId="BalloonText">
    <w:name w:val="Balloon Text"/>
    <w:basedOn w:val="Normal"/>
    <w:link w:val="BalloonTextChar"/>
    <w:uiPriority w:val="99"/>
    <w:semiHidden/>
    <w:rsid w:val="006E4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5F"/>
    <w:rPr>
      <w:rFonts w:ascii="Tahoma" w:hAnsi="Tahoma" w:cs="Tahoma"/>
      <w:sz w:val="16"/>
      <w:szCs w:val="16"/>
    </w:rPr>
  </w:style>
  <w:style w:type="character" w:customStyle="1" w:styleId="MathematicaFormatStandardForm">
    <w:name w:val="MathematicaFormatStandardForm"/>
    <w:uiPriority w:val="99"/>
    <w:rsid w:val="00436C4E"/>
    <w:rPr>
      <w:rFonts w:ascii="Courier" w:hAnsi="Courier" w:cs="Courier"/>
    </w:rPr>
  </w:style>
  <w:style w:type="paragraph" w:styleId="Caption">
    <w:name w:val="caption"/>
    <w:basedOn w:val="Normal"/>
    <w:next w:val="Normal"/>
    <w:uiPriority w:val="99"/>
    <w:qFormat/>
    <w:rsid w:val="00436C4E"/>
    <w:pPr>
      <w:spacing w:after="0" w:line="240" w:lineRule="auto"/>
    </w:pPr>
    <w:rPr>
      <w:rFonts w:ascii="Times New Roman" w:eastAsia="MS Mincho" w:hAnsi="Times New Roman" w:cs="Times New Roman"/>
      <w:b/>
      <w:bCs/>
      <w:sz w:val="20"/>
      <w:szCs w:val="20"/>
      <w:lang w:eastAsia="ja-JP"/>
    </w:rPr>
  </w:style>
  <w:style w:type="table" w:styleId="TableGrid">
    <w:name w:val="Table Grid"/>
    <w:basedOn w:val="TableNormal"/>
    <w:uiPriority w:val="99"/>
    <w:rsid w:val="00095B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270A5F"/>
    <w:rPr>
      <w:rFonts w:ascii="Verdana" w:hAnsi="Verdana" w:cs="Verdana"/>
      <w:b/>
      <w:bCs/>
      <w:caps/>
      <w:vanish/>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9064">
      <w:marLeft w:val="0"/>
      <w:marRight w:val="0"/>
      <w:marTop w:val="0"/>
      <w:marBottom w:val="0"/>
      <w:divBdr>
        <w:top w:val="none" w:sz="0" w:space="0" w:color="auto"/>
        <w:left w:val="none" w:sz="0" w:space="0" w:color="auto"/>
        <w:bottom w:val="none" w:sz="0" w:space="0" w:color="auto"/>
        <w:right w:val="none" w:sz="0" w:space="0" w:color="auto"/>
      </w:divBdr>
    </w:div>
    <w:div w:id="1573079065">
      <w:marLeft w:val="0"/>
      <w:marRight w:val="0"/>
      <w:marTop w:val="0"/>
      <w:marBottom w:val="0"/>
      <w:divBdr>
        <w:top w:val="none" w:sz="0" w:space="0" w:color="auto"/>
        <w:left w:val="none" w:sz="0" w:space="0" w:color="auto"/>
        <w:bottom w:val="none" w:sz="0" w:space="0" w:color="auto"/>
        <w:right w:val="none" w:sz="0" w:space="0" w:color="auto"/>
      </w:divBdr>
    </w:div>
    <w:div w:id="1573079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GLOBAL SUPPLY CHAIN DESIGN: UNDERSTANDING COSTS THROUGH DYNAMIC MODELLING</vt:lpstr>
    </vt:vector>
  </TitlesOfParts>
  <Company>University of Brighton</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SUPPLY CHAIN DESIGN: UNDERSTANDING COSTS THROUGH DYNAMIC MODELLING</dc:title>
  <dc:creator>Peter Mccullen</dc:creator>
  <cp:lastModifiedBy>PeterMccullen</cp:lastModifiedBy>
  <cp:revision>16</cp:revision>
  <cp:lastPrinted>2013-05-19T21:13:00Z</cp:lastPrinted>
  <dcterms:created xsi:type="dcterms:W3CDTF">2013-05-20T08:25:00Z</dcterms:created>
  <dcterms:modified xsi:type="dcterms:W3CDTF">2013-05-20T09:34:00Z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